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BC" w:rsidRPr="00734347" w:rsidRDefault="002572BC" w:rsidP="00665A5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8DB3E2"/>
        <w:spacing w:line="276" w:lineRule="auto"/>
        <w:ind w:firstLine="360"/>
        <w:rPr>
          <w:rFonts w:ascii="Calibri" w:hAnsi="Calibri" w:cs="Calibri"/>
          <w:sz w:val="28"/>
          <w:szCs w:val="28"/>
          <w:lang w:val="el-GR"/>
        </w:rPr>
      </w:pPr>
      <w:r w:rsidRPr="00665A5D">
        <w:rPr>
          <w:rFonts w:ascii="Calibri" w:hAnsi="Calibri" w:cs="Calibri"/>
          <w:sz w:val="28"/>
          <w:szCs w:val="28"/>
          <w:shd w:val="clear" w:color="auto" w:fill="8DB3E2"/>
          <w:lang w:val="el-GR"/>
        </w:rPr>
        <w:t>ΠΑΡΑΡΤΗΜΑ</w:t>
      </w:r>
      <w:r w:rsidRPr="00734347">
        <w:rPr>
          <w:rFonts w:ascii="Calibri" w:hAnsi="Calibri" w:cs="Calibri"/>
          <w:sz w:val="28"/>
          <w:szCs w:val="28"/>
          <w:lang w:val="el-GR"/>
        </w:rPr>
        <w:t xml:space="preserve"> Ι</w:t>
      </w:r>
    </w:p>
    <w:p w:rsidR="002572BC" w:rsidRPr="00552EEB" w:rsidRDefault="002572BC" w:rsidP="003F6AB1">
      <w:pPr>
        <w:pStyle w:val="ListParagraph"/>
        <w:spacing w:after="200" w:line="276" w:lineRule="auto"/>
        <w:ind w:left="360"/>
        <w:jc w:val="center"/>
        <w:rPr>
          <w:rFonts w:ascii="Calibri" w:hAnsi="Calibri" w:cs="Calibri"/>
          <w:color w:val="auto"/>
          <w:spacing w:val="4"/>
          <w:sz w:val="22"/>
          <w:szCs w:val="22"/>
          <w:lang w:val="el-GR"/>
        </w:rPr>
      </w:pPr>
    </w:p>
    <w:p w:rsidR="002572BC" w:rsidRPr="00552EEB" w:rsidRDefault="002572BC" w:rsidP="003F6AB1">
      <w:pPr>
        <w:pStyle w:val="ListParagraph"/>
        <w:spacing w:after="200" w:line="276" w:lineRule="auto"/>
        <w:ind w:left="360"/>
        <w:jc w:val="center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552EEB">
        <w:rPr>
          <w:rFonts w:ascii="Calibri" w:hAnsi="Calibri" w:cs="Calibri"/>
          <w:color w:val="auto"/>
          <w:spacing w:val="4"/>
          <w:sz w:val="22"/>
          <w:szCs w:val="22"/>
          <w:lang w:val="el-GR"/>
        </w:rPr>
        <w:t>ΑΝΑΛΥΣΗ ΣΤΟΙΧΕΙΩΝ ΕΓΓΕΓΡΑΜΜΕΝΗΣ</w:t>
      </w:r>
      <w:r w:rsidRPr="00552EEB">
        <w:rPr>
          <w:rStyle w:val="FootnoteReference"/>
          <w:rFonts w:ascii="Calibri" w:hAnsi="Calibri" w:cs="Calibri"/>
          <w:color w:val="auto"/>
          <w:spacing w:val="4"/>
          <w:sz w:val="22"/>
          <w:szCs w:val="22"/>
        </w:rPr>
        <w:footnoteReference w:id="2"/>
      </w:r>
      <w:r w:rsidRPr="00552EEB">
        <w:rPr>
          <w:rFonts w:ascii="Calibri" w:hAnsi="Calibri" w:cs="Calibri"/>
          <w:color w:val="auto"/>
          <w:spacing w:val="4"/>
          <w:sz w:val="22"/>
          <w:szCs w:val="22"/>
          <w:lang w:val="el-GR"/>
        </w:rPr>
        <w:t xml:space="preserve"> ΑΝΕΡΓΙΑΣ ΚΑΙ ΣΤΟΙΧΕΙΩΝ ΑΠΟ ΑΛΛΕΣ ΠΗΓΕΣ</w:t>
      </w:r>
    </w:p>
    <w:p w:rsidR="002572BC" w:rsidRPr="00552EEB" w:rsidRDefault="002572BC" w:rsidP="00552EE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i/>
          <w:iCs/>
          <w:color w:val="auto"/>
          <w:sz w:val="22"/>
          <w:szCs w:val="22"/>
          <w:lang w:val="el-GR"/>
        </w:rPr>
      </w:pPr>
      <w:r w:rsidRPr="002A47A5">
        <w:rPr>
          <w:rFonts w:ascii="Calibri" w:hAnsi="Calibri" w:cs="Calibri"/>
          <w:i/>
          <w:iCs/>
          <w:color w:val="auto"/>
          <w:lang w:val="el-GR"/>
        </w:rPr>
        <w:t>Σύγκριση μεταξύ</w:t>
      </w:r>
      <w:r w:rsidR="0047321D">
        <w:rPr>
          <w:rFonts w:ascii="Calibri" w:hAnsi="Calibri" w:cs="Calibri"/>
          <w:i/>
          <w:iCs/>
          <w:color w:val="auto"/>
          <w:lang w:val="el-GR"/>
        </w:rPr>
        <w:t xml:space="preserve"> Οκτω</w:t>
      </w:r>
      <w:r>
        <w:rPr>
          <w:rFonts w:ascii="Calibri" w:hAnsi="Calibri" w:cs="Calibri"/>
          <w:i/>
          <w:iCs/>
          <w:color w:val="auto"/>
          <w:lang w:val="el-GR"/>
        </w:rPr>
        <w:t>βρίου</w:t>
      </w:r>
      <w:r w:rsidRPr="00792D5D">
        <w:rPr>
          <w:rFonts w:ascii="Calibri" w:hAnsi="Calibri" w:cs="Calibri"/>
          <w:i/>
          <w:iCs/>
          <w:color w:val="auto"/>
          <w:lang w:val="el-GR"/>
        </w:rPr>
        <w:t xml:space="preserve"> 2013 και 2014</w:t>
      </w:r>
      <w:r w:rsidRPr="00792D5D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 </w:t>
      </w:r>
      <w:r w:rsidRPr="0057480F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(</w:t>
      </w:r>
      <w:r w:rsidRPr="0057480F">
        <w:rPr>
          <w:rFonts w:ascii="Calibri" w:hAnsi="Calibri" w:cs="Calibri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Pr="0057480F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)</w:t>
      </w:r>
      <w:r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 </w:t>
      </w:r>
      <w:r w:rsidRPr="00552EEB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(σχετικοί Πίνακες 1-8) </w:t>
      </w:r>
    </w:p>
    <w:p w:rsidR="002572BC" w:rsidRPr="00552EEB" w:rsidRDefault="002572BC" w:rsidP="003F6AB1">
      <w:pPr>
        <w:pStyle w:val="Title"/>
        <w:spacing w:line="276" w:lineRule="auto"/>
        <w:jc w:val="both"/>
        <w:rPr>
          <w:rFonts w:ascii="Calibri" w:hAnsi="Calibri" w:cs="Calibri"/>
          <w:color w:val="auto"/>
          <w:spacing w:val="4"/>
          <w:sz w:val="22"/>
          <w:szCs w:val="22"/>
          <w:u w:val="single"/>
        </w:rPr>
      </w:pPr>
    </w:p>
    <w:p w:rsidR="002572BC" w:rsidRPr="00F50C17" w:rsidRDefault="002572BC" w:rsidP="00F50C1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  <w:r>
        <w:rPr>
          <w:rFonts w:ascii="Calibri" w:hAnsi="Calibri" w:cs="Calibri"/>
          <w:color w:val="auto"/>
          <w:sz w:val="22"/>
          <w:szCs w:val="22"/>
          <w:lang w:val="el-GR"/>
        </w:rPr>
        <w:t>Γενικά: Μείωση</w:t>
      </w:r>
      <w:r w:rsidRPr="00792D5D">
        <w:rPr>
          <w:rFonts w:ascii="Calibri" w:hAnsi="Calibri" w:cs="Calibri"/>
          <w:color w:val="auto"/>
          <w:sz w:val="22"/>
          <w:szCs w:val="22"/>
          <w:lang w:val="el-GR"/>
        </w:rPr>
        <w:t xml:space="preserve"> του αριθμού 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των εγγεγραμμένων ανέργων σε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="002306C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2306C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334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από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="002306C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2306C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092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άτομα τον αντίστοιχο μήνα του 2013 (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μείωση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2306C3" w:rsidRPr="002A11A7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8,3% ή 3,758 άτομα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).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Επισημαίνετα</w:t>
      </w:r>
      <w:r w:rsidR="001832C2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ι ότι από το 2008 είναι η έκτη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 φορά  που παρατηρείται μείωση της μηνιαίας εγγεγραμμένης ανεργίας, το ίδιο είχε συμβεί και τους </w:t>
      </w:r>
      <w:r w:rsidR="001832C2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πέντε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προηγούμενους μήνες, σε σχέση με τους αντίστοιχους μήνες του προηγούμενου έτους.</w:t>
      </w:r>
      <w:r w:rsidRPr="00176F94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[βλέπε πίνακα 1].</w:t>
      </w:r>
    </w:p>
    <w:p w:rsidR="002572BC" w:rsidRPr="00552EEB" w:rsidRDefault="002572BC" w:rsidP="00552EE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pacing w:val="2"/>
          <w:sz w:val="22"/>
          <w:szCs w:val="22"/>
          <w:lang w:val="el-GR"/>
        </w:rPr>
      </w:pPr>
      <w:r w:rsidRPr="00552EEB">
        <w:rPr>
          <w:rFonts w:ascii="Calibri" w:hAnsi="Calibri" w:cs="Calibri"/>
          <w:color w:val="auto"/>
          <w:sz w:val="22"/>
          <w:szCs w:val="22"/>
          <w:lang w:val="el-GR"/>
        </w:rPr>
        <w:t>Φύλο:</w:t>
      </w:r>
      <w:r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Pr="00EC6B6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 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αριθμός των άνεργων αντρών είναι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21,</w:t>
      </w:r>
      <w:r w:rsidR="006F7C5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275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και αντιπροσωπεύει το </w:t>
      </w:r>
      <w:r w:rsidR="006F7C5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51,5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των εγγεγραμμένων ανέργων, ενώ ο αριθμός των ανέργων γυναικών είναι </w:t>
      </w:r>
      <w:r w:rsidR="006F7C5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20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6F7C5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059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άτομα. Σε σχέση με τον ίδιο μήνα πέρσι, ο αριθμός των ανέργων </w:t>
      </w:r>
      <w:r w:rsidR="006F7C5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αντρών μειώθηκε κατά 7% ή 1,606 ά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τομα και 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των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γυναικών μειώθηκε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6057B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10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ή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2,</w:t>
      </w:r>
      <w:r w:rsidR="006057B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152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άτομα.</w:t>
      </w:r>
      <w:r w:rsidRPr="00552EE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[</w:t>
      </w:r>
      <w:r w:rsidRPr="00552EE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βλέπε πίνακα 2]</w:t>
      </w:r>
      <w:r w:rsidRPr="00552EE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</w:p>
    <w:p w:rsidR="002572BC" w:rsidRDefault="002572BC" w:rsidP="00D100FF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552EE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(σύνολο και κατά φύλο) τους τελευταίους 12 μήνες.</w:t>
      </w:r>
    </w:p>
    <w:p w:rsidR="002572BC" w:rsidRDefault="002572BC" w:rsidP="00D100FF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2572BC" w:rsidRPr="00D549B7" w:rsidRDefault="00ED6635" w:rsidP="00334C6F">
      <w:pPr>
        <w:pStyle w:val="ListParagraph"/>
        <w:spacing w:line="276" w:lineRule="auto"/>
        <w:jc w:val="center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Arial"/>
          <w:b w:val="0"/>
          <w:noProof/>
          <w:color w:val="FF0000"/>
          <w:sz w:val="22"/>
          <w:szCs w:val="22"/>
        </w:rPr>
        <w:drawing>
          <wp:inline distT="0" distB="0" distL="0" distR="0">
            <wp:extent cx="4924425" cy="2790825"/>
            <wp:effectExtent l="19050" t="0" r="9525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BC" w:rsidRPr="00552EEB" w:rsidRDefault="002572BC" w:rsidP="005E7609">
      <w:pPr>
        <w:pStyle w:val="ListParagraph"/>
        <w:spacing w:line="276" w:lineRule="auto"/>
        <w:jc w:val="center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2572BC" w:rsidRPr="00552EEB" w:rsidRDefault="002572BC" w:rsidP="00A92F09">
      <w:pPr>
        <w:pStyle w:val="ListParagraph"/>
        <w:spacing w:line="276" w:lineRule="auto"/>
        <w:jc w:val="center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2572BC" w:rsidRPr="00F869C9" w:rsidRDefault="002572BC" w:rsidP="00976F3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Η ανεργία σημείωσε μείωση σε όλες τις επαρχίες. </w:t>
      </w:r>
      <w:r w:rsidRPr="005D623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Η μεγαλύτερη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αριθμητική </w:t>
      </w:r>
      <w:r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>μείωση</w:t>
      </w:r>
      <w:r w:rsidRPr="005D623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παρου</w:t>
      </w:r>
      <w:r w:rsidRPr="005D623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softHyphen/>
        <w:t>σιάστηκε στ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ις</w:t>
      </w:r>
      <w:r w:rsidRPr="005D623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5D6231">
        <w:rPr>
          <w:rFonts w:ascii="Calibri" w:hAnsi="Calibri" w:cs="Calibri"/>
          <w:color w:val="auto"/>
          <w:sz w:val="22"/>
          <w:szCs w:val="22"/>
          <w:lang w:val="el-GR"/>
        </w:rPr>
        <w:t>επαρχί</w:t>
      </w:r>
      <w:r>
        <w:rPr>
          <w:rFonts w:ascii="Calibri" w:hAnsi="Calibri" w:cs="Calibri"/>
          <w:color w:val="auto"/>
          <w:sz w:val="22"/>
          <w:szCs w:val="22"/>
          <w:lang w:val="el-GR"/>
        </w:rPr>
        <w:t>ες</w:t>
      </w:r>
      <w:r w:rsidRPr="005D6231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Λευκωσίας</w:t>
      </w:r>
      <w:r w:rsidRPr="005D623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(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κατά 1,</w:t>
      </w:r>
      <w:r w:rsidR="006057B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875 </w:t>
      </w:r>
      <w:r w:rsidRPr="005D623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άτομα)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Λεμεσού (κατά </w:t>
      </w:r>
      <w:r w:rsidR="006057B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941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άτομα), ακολουθούμενες από τις επαρχίες Λάρνακας (κατά </w:t>
      </w:r>
      <w:r w:rsidR="006057B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686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άτομα), Αμμοχώστου (κατά </w:t>
      </w:r>
      <w:r w:rsidR="006057B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143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 και Πάφου (κατά </w:t>
      </w:r>
      <w:r w:rsidR="006057B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113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άτομα). </w:t>
      </w:r>
    </w:p>
    <w:p w:rsidR="002572BC" w:rsidRDefault="002572BC" w:rsidP="00C2396C">
      <w:pPr>
        <w:spacing w:after="200" w:line="276" w:lineRule="auto"/>
        <w:ind w:left="72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B33A6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>Στο διάγραμμα που ακολουθεί παρουσιάζεται η διακύμανση του αριθμού των ανέργων κατά επαρχία τους τελευταίους 12 μήνες [βλέπε πίνακα 3].</w:t>
      </w:r>
    </w:p>
    <w:p w:rsidR="002572BC" w:rsidRPr="00334C6F" w:rsidRDefault="00ED6635" w:rsidP="00334C6F">
      <w:pPr>
        <w:spacing w:after="200" w:line="276" w:lineRule="auto"/>
        <w:ind w:left="360"/>
        <w:jc w:val="center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Arial"/>
          <w:b w:val="0"/>
          <w:noProof/>
          <w:color w:val="FF0000"/>
          <w:sz w:val="22"/>
          <w:szCs w:val="22"/>
        </w:rPr>
        <w:drawing>
          <wp:inline distT="0" distB="0" distL="0" distR="0">
            <wp:extent cx="4467225" cy="2524125"/>
            <wp:effectExtent l="19050" t="0" r="9525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BC" w:rsidRPr="00221312" w:rsidRDefault="002572BC" w:rsidP="00221312">
      <w:pPr>
        <w:spacing w:line="276" w:lineRule="auto"/>
        <w:ind w:right="956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2572BC" w:rsidRPr="00334C6F" w:rsidRDefault="002572BC" w:rsidP="00CE7816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A3B28">
        <w:rPr>
          <w:rFonts w:ascii="Calibri" w:hAnsi="Calibri" w:cs="Calibri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4A3B28">
        <w:rPr>
          <w:rFonts w:ascii="Calibri" w:hAnsi="Calibri" w:cs="Calibri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4A3B28">
        <w:rPr>
          <w:rFonts w:ascii="Calibri" w:hAnsi="Calibri" w:cs="Calibri"/>
          <w:color w:val="auto"/>
          <w:spacing w:val="2"/>
          <w:sz w:val="22"/>
          <w:szCs w:val="22"/>
          <w:lang w:val="el-GR"/>
        </w:rPr>
        <w:softHyphen/>
        <w:t>τητα</w:t>
      </w:r>
      <w:r w:rsidRPr="004A3B28">
        <w:rPr>
          <w:rFonts w:ascii="Calibri" w:hAnsi="Calibri" w:cs="Calibri"/>
          <w:b w:val="0"/>
          <w:bCs w:val="0"/>
          <w:color w:val="auto"/>
          <w:spacing w:val="2"/>
          <w:sz w:val="22"/>
          <w:szCs w:val="22"/>
          <w:lang w:val="el-GR"/>
        </w:rPr>
        <w:t>ς</w:t>
      </w: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2013 παρουσιάσ</w:t>
      </w:r>
      <w:r w:rsidR="00417A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τηκαν στον τομέα της εμπορίου</w:t>
      </w: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 w:rsidR="00417A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1,490</w:t>
      </w: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άτομα), στον τομέα </w:t>
      </w:r>
      <w:r w:rsidR="00417A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της εκπαίδευσης</w:t>
      </w: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(κατά 1,</w:t>
      </w:r>
      <w:r w:rsidR="00417A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422</w:t>
      </w: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άτομα), στον τομέα των κατασκευών (κατά 1,</w:t>
      </w:r>
      <w:r w:rsidR="00417A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63 άτομα), </w:t>
      </w: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στον τομέα </w:t>
      </w:r>
      <w:r w:rsidR="00417A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των τραπεζών</w:t>
      </w: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 w:rsidR="00417A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710</w:t>
      </w: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στον τομέα </w:t>
      </w:r>
      <w:r w:rsidR="00417A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της μεταποίησης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 w:rsidR="00417A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695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Οι μεγαλύτερες αυξήσεις παρουσιάστηκαν στον τομέα </w:t>
      </w:r>
      <w:r w:rsidR="00417A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της δημόσιας διοίκησης</w:t>
      </w: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 w:rsidR="00417A0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594</w:t>
      </w: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άτομα), των </w:t>
      </w:r>
      <w:r w:rsidR="00B8321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ξενοδοχείων</w:t>
      </w: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 w:rsidR="00B8321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592</w:t>
      </w: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άτομα), τ</w:t>
      </w:r>
      <w:r w:rsidR="00B8321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ων άλλων υπηρεσιών</w:t>
      </w: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38</w:t>
      </w:r>
      <w:r w:rsidR="00B8321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 και  των </w:t>
      </w:r>
      <w:r w:rsidR="00B8321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νεοεισερχομένων</w:t>
      </w: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 w:rsidR="00B8321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161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άτομα).  </w:t>
      </w:r>
    </w:p>
    <w:p w:rsidR="002572BC" w:rsidRPr="004A3B28" w:rsidRDefault="002572BC" w:rsidP="00C2396C">
      <w:pPr>
        <w:pStyle w:val="ListParagraph"/>
        <w:spacing w:after="200"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 [βλέπε πίνακα 4].</w:t>
      </w:r>
    </w:p>
    <w:p w:rsidR="002572BC" w:rsidRDefault="00ED6635" w:rsidP="00362ED1">
      <w:pPr>
        <w:spacing w:after="200" w:line="276" w:lineRule="auto"/>
        <w:ind w:left="360"/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Arial"/>
          <w:b w:val="0"/>
          <w:noProof/>
          <w:color w:val="FF0000"/>
          <w:sz w:val="22"/>
          <w:szCs w:val="22"/>
        </w:rPr>
        <w:drawing>
          <wp:inline distT="0" distB="0" distL="0" distR="0">
            <wp:extent cx="4943475" cy="2886075"/>
            <wp:effectExtent l="19050" t="0" r="9525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3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9F" w:rsidRPr="00334C6F" w:rsidRDefault="0077409F" w:rsidP="00362ED1">
      <w:pPr>
        <w:spacing w:after="200" w:line="276" w:lineRule="auto"/>
        <w:ind w:left="360"/>
        <w:jc w:val="center"/>
        <w:rPr>
          <w:rFonts w:ascii="Calibri" w:hAnsi="Calibri" w:cs="Calibri"/>
          <w:sz w:val="22"/>
          <w:szCs w:val="22"/>
          <w:lang w:val="el-GR"/>
        </w:rPr>
      </w:pPr>
    </w:p>
    <w:p w:rsidR="002572BC" w:rsidRPr="009755B5" w:rsidRDefault="002572BC" w:rsidP="00AF3BE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sz w:val="16"/>
          <w:szCs w:val="16"/>
          <w:lang w:val="el-GR"/>
        </w:rPr>
      </w:pPr>
      <w:r w:rsidRPr="009755B5">
        <w:rPr>
          <w:rFonts w:ascii="Calibri" w:hAnsi="Calibri" w:cs="Calibri"/>
          <w:color w:val="auto"/>
          <w:sz w:val="22"/>
          <w:szCs w:val="22"/>
          <w:lang w:val="el-GR"/>
        </w:rPr>
        <w:lastRenderedPageBreak/>
        <w:t>Διάρκεια εγγραφής</w:t>
      </w:r>
      <w:r w:rsidRP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: Ο αριθμός των ανέργων που ήταν εγγεγραμμένοι στα γραφεία της ΔΥΑ για περισσότερο </w:t>
      </w:r>
      <w:r w:rsidRPr="009755B5">
        <w:rPr>
          <w:rFonts w:ascii="Calibri" w:hAnsi="Calibri" w:cs="Calibri"/>
          <w:color w:val="auto"/>
          <w:sz w:val="22"/>
          <w:szCs w:val="22"/>
          <w:lang w:val="el-GR"/>
        </w:rPr>
        <w:t>από 6 μήνες</w:t>
      </w:r>
      <w:r w:rsidRP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έφτασε τα </w:t>
      </w:r>
      <w:r w:rsidR="00AF3BE3" w:rsidRP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19,362</w:t>
      </w:r>
      <w:r w:rsidRP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(αύξηση κατά </w:t>
      </w:r>
      <w:r w:rsidR="00AF3BE3" w:rsidRP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1,437</w:t>
      </w:r>
      <w:r w:rsidRP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ή 8% σε σχέση με τον ίδιο μήνα πέρσι) και αντιπροσωπεύει το 47% του συνόλου των εγγεγραμμένων ανέργων. Ο αριθμός των ανέργων που ήταν εγγεγραμμένοι στα γραφεία της ΔΥΑ για περισσότερο από 12 μήνες έφτασε τα </w:t>
      </w:r>
      <w:r w:rsidR="00AF3BE3" w:rsidRP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11,999</w:t>
      </w:r>
      <w:r w:rsidRP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(αύξηση κατά </w:t>
      </w:r>
      <w:r w:rsidR="00AF3BE3" w:rsidRP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4,109</w:t>
      </w:r>
      <w:r w:rsidRP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ή </w:t>
      </w:r>
      <w:r w:rsidR="00AF3BE3" w:rsidRP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52</w:t>
      </w:r>
      <w:r w:rsidRP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%) και αντιπροσωπεύει το </w:t>
      </w:r>
      <w:r w:rsidR="00AF3BE3" w:rsidRP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29</w:t>
      </w:r>
      <w:r w:rsidRP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του συνόλου των εγγεγραμμένων ανέργων. Στο διάγραμμα που ακολουθεί παρουσιάζεται η διακύμανση του αριθμού των ανέργων κατά διάρκεια εγγραφής τους τελευταίους 12 μήνες </w:t>
      </w:r>
      <w:r w:rsidRPr="009755B5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[βλέπε πίνακα 6].</w:t>
      </w:r>
    </w:p>
    <w:p w:rsidR="002572BC" w:rsidRPr="00F33992" w:rsidRDefault="00ED6635" w:rsidP="00F33992">
      <w:pPr>
        <w:spacing w:after="200" w:line="276" w:lineRule="auto"/>
        <w:ind w:left="360"/>
        <w:jc w:val="center"/>
      </w:pPr>
      <w:r>
        <w:rPr>
          <w:rFonts w:ascii="Calibri" w:hAnsi="Calibri" w:cs="Arial"/>
          <w:noProof/>
          <w:color w:val="FF0000"/>
          <w:sz w:val="16"/>
          <w:szCs w:val="16"/>
        </w:rPr>
        <w:drawing>
          <wp:inline distT="0" distB="0" distL="0" distR="0">
            <wp:extent cx="4495800" cy="3038475"/>
            <wp:effectExtent l="19050" t="0" r="0" b="0"/>
            <wp:docPr id="4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5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BC" w:rsidRPr="004A3B28" w:rsidRDefault="00A90FAB" w:rsidP="003E1501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Πολύ μ</w:t>
      </w:r>
      <w:r w:rsid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ικρή α</w:t>
      </w:r>
      <w:r w:rsidR="002572B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ύξηση  της  ανεργίας παρουσιάστηκε στην</w:t>
      </w:r>
      <w:r w:rsidR="002572BC"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572BC" w:rsidRPr="004A3B28">
        <w:rPr>
          <w:rFonts w:ascii="Calibri" w:hAnsi="Calibri" w:cs="Calibri"/>
          <w:color w:val="auto"/>
          <w:sz w:val="22"/>
          <w:szCs w:val="22"/>
          <w:lang w:val="el-GR"/>
        </w:rPr>
        <w:t>ηλικιακ</w:t>
      </w:r>
      <w:r w:rsidR="002572BC">
        <w:rPr>
          <w:rFonts w:ascii="Calibri" w:hAnsi="Calibri" w:cs="Calibri"/>
          <w:color w:val="auto"/>
          <w:sz w:val="22"/>
          <w:szCs w:val="22"/>
          <w:lang w:val="el-GR"/>
        </w:rPr>
        <w:t>ή</w:t>
      </w:r>
      <w:r w:rsidR="002572BC" w:rsidRPr="004A3B28">
        <w:rPr>
          <w:rFonts w:ascii="Calibri" w:hAnsi="Calibri" w:cs="Calibri"/>
          <w:color w:val="auto"/>
          <w:sz w:val="22"/>
          <w:szCs w:val="22"/>
          <w:lang w:val="el-GR"/>
        </w:rPr>
        <w:t xml:space="preserve"> ομάδ</w:t>
      </w:r>
      <w:r w:rsidR="009755B5">
        <w:rPr>
          <w:rFonts w:ascii="Calibri" w:hAnsi="Calibri" w:cs="Calibri"/>
          <w:color w:val="auto"/>
          <w:sz w:val="22"/>
          <w:szCs w:val="22"/>
          <w:lang w:val="el-GR"/>
        </w:rPr>
        <w:t xml:space="preserve">α </w:t>
      </w:r>
      <w:r w:rsidR="009755B5">
        <w:rPr>
          <w:rFonts w:ascii="Calibri" w:hAnsi="Calibri" w:cs="Calibri"/>
          <w:b w:val="0"/>
          <w:color w:val="auto"/>
          <w:sz w:val="22"/>
          <w:szCs w:val="22"/>
          <w:lang w:val="el-GR"/>
        </w:rPr>
        <w:t>65 ετών και άνω</w:t>
      </w:r>
      <w:r w:rsidR="002572BC"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 w:rsid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22</w:t>
      </w:r>
      <w:r w:rsidR="002572BC" w:rsidRPr="00162E96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572B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άτομα)</w:t>
      </w:r>
      <w:r w:rsid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 ενώ</w:t>
      </w:r>
      <w:r w:rsidR="002572BC"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οι υπόλοιπες ηλικιακές ομάδες παρουσίασαν  μείωση. Στην ηλικιακή ομάδα </w:t>
      </w:r>
      <w:r w:rsid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2572BC"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5-2</w:t>
      </w:r>
      <w:r w:rsid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="002572BC"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ετών (κατά </w:t>
      </w:r>
      <w:r w:rsid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872</w:t>
      </w:r>
      <w:r w:rsidR="002572BC"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άτομα), στην ηλικιακή ομάδα </w:t>
      </w:r>
      <w:r w:rsid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40-49</w:t>
      </w:r>
      <w:r w:rsidR="002572BC"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ετών (κατά </w:t>
      </w:r>
      <w:r w:rsid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851</w:t>
      </w:r>
      <w:r w:rsidR="002572BC"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5A26F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25-29</w:t>
      </w:r>
      <w:r w:rsidR="002572BC"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ετών (κατά </w:t>
      </w:r>
      <w:r w:rsidR="002572B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</w:t>
      </w:r>
      <w:r w:rsidR="005A26F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44</w:t>
      </w:r>
      <w:r w:rsidR="002572B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άτομα), 30-39 ετών (κα</w:t>
      </w:r>
      <w:r w:rsidR="002572BC"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τά </w:t>
      </w:r>
      <w:r w:rsidR="005A26F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749</w:t>
      </w:r>
      <w:r w:rsidR="002572BC"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5A26F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2572B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50-59 ετών (κατά </w:t>
      </w:r>
      <w:r w:rsidR="005A26F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409</w:t>
      </w:r>
      <w:r w:rsidR="002572B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5A26F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60-64 (κατά 55 άτομα)</w:t>
      </w:r>
      <w:r w:rsidR="002572BC"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 Στο διάγραμμα που ακολουθεί παρουσιάζεται η διακύμανση του αριθμού των ανέργων σε επιλεγμένες ηλικιακές ομάδες τους τελευταίους 12 μήνες [</w:t>
      </w:r>
      <w:r w:rsidR="002572BC" w:rsidRPr="004A3B28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βλέπε πίνακες 7,8].</w:t>
      </w:r>
    </w:p>
    <w:p w:rsidR="002572BC" w:rsidRPr="00D323C5" w:rsidRDefault="00ED6635" w:rsidP="00D323C5">
      <w:pPr>
        <w:spacing w:after="200" w:line="276" w:lineRule="auto"/>
        <w:ind w:left="360"/>
        <w:jc w:val="center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Arial"/>
          <w:b w:val="0"/>
          <w:noProof/>
          <w:color w:val="FF0000"/>
          <w:sz w:val="22"/>
          <w:szCs w:val="22"/>
        </w:rPr>
        <w:drawing>
          <wp:inline distT="0" distB="0" distL="0" distR="0">
            <wp:extent cx="4714875" cy="2604491"/>
            <wp:effectExtent l="6096" t="6106" r="3429" b="8778"/>
            <wp:docPr id="5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72BC" w:rsidRDefault="002572BC" w:rsidP="007702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7165CA">
        <w:rPr>
          <w:rFonts w:ascii="Calibri" w:hAnsi="Calibri" w:cs="Calibri"/>
          <w:color w:val="auto"/>
          <w:sz w:val="22"/>
          <w:szCs w:val="22"/>
          <w:lang w:val="el-GR"/>
        </w:rPr>
        <w:lastRenderedPageBreak/>
        <w:t xml:space="preserve">Μόρφωση: 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Οι μισοί από τους εγγεγραμμένους άνεργους είναι απόφοιτοι δευτεροβάθμιας γενικής ή τεχνικής εκπαίδευσης  με ποσοστό </w:t>
      </w:r>
      <w:r w:rsidR="00E817E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50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 ή 2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E817E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409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άτομα, ακολουθούν οι απόφοιτοι τριτοβάθμιας εκπαίδευσης με </w:t>
      </w:r>
      <w:r w:rsidR="00E817E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29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 ή 1</w:t>
      </w:r>
      <w:r w:rsidR="00E817E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E817E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180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και οι απόφοιτοι πρωτοβάθμιας εκπαίδευσης με </w:t>
      </w:r>
      <w:r w:rsidR="00E817E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21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 ή 8,</w:t>
      </w:r>
      <w:r w:rsidR="00E817E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745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[βλέπε πίνακα 8].</w:t>
      </w:r>
      <w:r w:rsidRPr="0077028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2572BC" w:rsidRPr="00770280" w:rsidRDefault="002572BC" w:rsidP="00F33992">
      <w:pPr>
        <w:pStyle w:val="ListParagraph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2572BC" w:rsidRPr="00565C9E" w:rsidRDefault="00ED6635" w:rsidP="00565C9E">
      <w:pPr>
        <w:pStyle w:val="Title"/>
        <w:spacing w:line="276" w:lineRule="auto"/>
        <w:ind w:left="720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>
        <w:rPr>
          <w:noProof/>
          <w:lang w:val="en-US"/>
        </w:rPr>
        <w:drawing>
          <wp:inline distT="0" distB="0" distL="0" distR="0">
            <wp:extent cx="4972050" cy="2457450"/>
            <wp:effectExtent l="19050" t="0" r="19050" b="0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72BC" w:rsidRDefault="002572BC" w:rsidP="00337DED">
      <w:pPr>
        <w:pStyle w:val="Title"/>
        <w:spacing w:line="276" w:lineRule="auto"/>
        <w:ind w:left="72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2572BC" w:rsidRPr="00F84C72" w:rsidRDefault="002572BC" w:rsidP="00F84C7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spacing w:val="4"/>
          <w:sz w:val="22"/>
          <w:szCs w:val="22"/>
          <w:lang w:val="el-GR"/>
        </w:rPr>
      </w:pPr>
      <w:r w:rsidRPr="00F84C72">
        <w:rPr>
          <w:rFonts w:ascii="Calibri" w:hAnsi="Calibri" w:cs="Calibri"/>
          <w:sz w:val="22"/>
          <w:szCs w:val="22"/>
          <w:lang w:val="el-GR"/>
        </w:rPr>
        <w:t>Εθνοτική καταγωγή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: Οι </w:t>
      </w:r>
      <w:r w:rsidRPr="00F84C72">
        <w:rPr>
          <w:rFonts w:ascii="Calibri" w:hAnsi="Calibri" w:cs="Calibri"/>
          <w:sz w:val="22"/>
          <w:szCs w:val="22"/>
          <w:lang w:val="el-GR"/>
        </w:rPr>
        <w:t xml:space="preserve">Ελληνοκύπριοι 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αποτελούν την </w:t>
      </w:r>
      <w:r w:rsidRPr="00F84C72">
        <w:rPr>
          <w:rFonts w:ascii="Calibri" w:hAnsi="Calibri" w:cs="Calibri"/>
          <w:sz w:val="22"/>
          <w:szCs w:val="22"/>
          <w:lang w:val="el-GR"/>
        </w:rPr>
        <w:t>πλειοψηφία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του συνόλου των ανέργων (</w:t>
      </w:r>
      <w:r w:rsidR="005A0E35">
        <w:rPr>
          <w:rFonts w:ascii="Calibri" w:hAnsi="Calibri" w:cs="Calibri"/>
          <w:b w:val="0"/>
          <w:bCs w:val="0"/>
          <w:sz w:val="22"/>
          <w:szCs w:val="22"/>
          <w:lang w:val="el-GR"/>
        </w:rPr>
        <w:t>81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% ή 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3</w:t>
      </w:r>
      <w:r w:rsidR="005A0E35">
        <w:rPr>
          <w:rFonts w:ascii="Calibri" w:hAnsi="Calibri" w:cs="Calibri"/>
          <w:b w:val="0"/>
          <w:bCs w:val="0"/>
          <w:sz w:val="22"/>
          <w:szCs w:val="22"/>
          <w:lang w:val="el-GR"/>
        </w:rPr>
        <w:t>3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,</w:t>
      </w:r>
      <w:r w:rsidR="005A0E35">
        <w:rPr>
          <w:rFonts w:ascii="Calibri" w:hAnsi="Calibri" w:cs="Calibri"/>
          <w:b w:val="0"/>
          <w:bCs w:val="0"/>
          <w:sz w:val="22"/>
          <w:szCs w:val="22"/>
          <w:lang w:val="el-GR"/>
        </w:rPr>
        <w:t>336 άτ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>ομα) όπως και πέρσι (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8</w:t>
      </w:r>
      <w:r w:rsidR="005A0E35">
        <w:rPr>
          <w:rFonts w:ascii="Calibri" w:hAnsi="Calibri" w:cs="Calibri"/>
          <w:b w:val="0"/>
          <w:bCs w:val="0"/>
          <w:sz w:val="22"/>
          <w:szCs w:val="22"/>
          <w:lang w:val="el-GR"/>
        </w:rPr>
        <w:t>0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% ή 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3</w:t>
      </w:r>
      <w:r w:rsidR="005A0E35">
        <w:rPr>
          <w:rFonts w:ascii="Calibri" w:hAnsi="Calibri" w:cs="Calibri"/>
          <w:b w:val="0"/>
          <w:bCs w:val="0"/>
          <w:sz w:val="22"/>
          <w:szCs w:val="22"/>
          <w:lang w:val="el-GR"/>
        </w:rPr>
        <w:t>6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,</w:t>
      </w:r>
      <w:r w:rsidR="005A0E35">
        <w:rPr>
          <w:rFonts w:ascii="Calibri" w:hAnsi="Calibri" w:cs="Calibri"/>
          <w:b w:val="0"/>
          <w:bCs w:val="0"/>
          <w:sz w:val="22"/>
          <w:szCs w:val="22"/>
          <w:lang w:val="el-GR"/>
        </w:rPr>
        <w:t>020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άτομα). Από το σύνολο των ανέργων οι </w:t>
      </w:r>
      <w:r w:rsidR="000808B4">
        <w:rPr>
          <w:rFonts w:ascii="Calibri" w:hAnsi="Calibri" w:cs="Calibri"/>
          <w:b w:val="0"/>
          <w:bCs w:val="0"/>
          <w:sz w:val="22"/>
          <w:szCs w:val="22"/>
          <w:lang w:val="el-GR"/>
        </w:rPr>
        <w:t>4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,</w:t>
      </w:r>
      <w:r w:rsidR="000808B4">
        <w:rPr>
          <w:rFonts w:ascii="Calibri" w:hAnsi="Calibri" w:cs="Calibri"/>
          <w:b w:val="0"/>
          <w:bCs w:val="0"/>
          <w:sz w:val="22"/>
          <w:szCs w:val="22"/>
          <w:lang w:val="el-GR"/>
        </w:rPr>
        <w:t>458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(</w:t>
      </w:r>
      <w:r w:rsidR="000808B4">
        <w:rPr>
          <w:rFonts w:ascii="Calibri" w:hAnsi="Calibri" w:cs="Calibri"/>
          <w:b w:val="0"/>
          <w:bCs w:val="0"/>
          <w:sz w:val="22"/>
          <w:szCs w:val="22"/>
          <w:lang w:val="el-GR"/>
        </w:rPr>
        <w:t>10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,</w:t>
      </w:r>
      <w:r w:rsidR="000808B4">
        <w:rPr>
          <w:rFonts w:ascii="Calibri" w:hAnsi="Calibri" w:cs="Calibri"/>
          <w:b w:val="0"/>
          <w:bCs w:val="0"/>
          <w:sz w:val="22"/>
          <w:szCs w:val="22"/>
          <w:lang w:val="el-GR"/>
        </w:rPr>
        <w:t>8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%) 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είναι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Ευρωπαίοι πολίτες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,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οι οποίοι 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έχουν μειωθεί κατά 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1</w:t>
      </w:r>
      <w:r w:rsidR="000808B4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,051 άτομα ή 19% 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σε σύγκριση με τον ίδιο μήνα πέρσι. 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Μ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είωση 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παρατηρήθηκε 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στους Τουρκοκύπριους (κατά 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1</w:t>
      </w:r>
      <w:r w:rsidR="00B70C4F">
        <w:rPr>
          <w:rFonts w:ascii="Calibri" w:hAnsi="Calibri" w:cs="Calibri"/>
          <w:b w:val="0"/>
          <w:bCs w:val="0"/>
          <w:sz w:val="22"/>
          <w:szCs w:val="22"/>
          <w:lang w:val="el-GR"/>
        </w:rPr>
        <w:t>73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άτομα)</w:t>
      </w:r>
      <w:r w:rsidR="006444C2">
        <w:rPr>
          <w:rFonts w:ascii="Calibri" w:hAnsi="Calibri" w:cs="Calibri"/>
          <w:b w:val="0"/>
          <w:bCs w:val="0"/>
          <w:sz w:val="22"/>
          <w:szCs w:val="22"/>
          <w:lang w:val="el-GR"/>
        </w:rPr>
        <w:t>, ενώ αύξηση παρατηρήθηκε στα άτομα με καθεστώς συμπληρωματικής προστασίας (κατά 153 άτομα).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</w:t>
      </w:r>
      <w:r w:rsidRPr="00F84C72">
        <w:rPr>
          <w:rFonts w:ascii="Calibri" w:hAnsi="Calibri" w:cs="Calibri"/>
          <w:b w:val="0"/>
          <w:bCs w:val="0"/>
          <w:spacing w:val="4"/>
          <w:sz w:val="22"/>
          <w:szCs w:val="22"/>
          <w:lang w:val="el-GR"/>
        </w:rPr>
        <w:t>[βλέπε πίνακα 9]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>.</w:t>
      </w:r>
    </w:p>
    <w:p w:rsidR="002572BC" w:rsidRPr="00F50C17" w:rsidRDefault="002572BC" w:rsidP="00A92F09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sz w:val="4"/>
          <w:szCs w:val="4"/>
          <w:lang w:val="el-GR"/>
        </w:rPr>
      </w:pPr>
    </w:p>
    <w:p w:rsidR="002572BC" w:rsidRDefault="002572BC" w:rsidP="008F2A3E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2"/>
          <w:lang w:val="el-GR"/>
        </w:rPr>
      </w:pP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>Στο διάγραμμα που ακολουθεί παρουσιάζεται η διακύμανση του αριθμού των Ελληνοκυπρίων, των Ευρωπαίων ανέργων, των Ποντίων ανέργων και των ανέργων με καθεστώς συμπληρωματικής προστασίας δεύτερου χρόνου τους τελευταίους 12 μήνες.</w:t>
      </w:r>
    </w:p>
    <w:p w:rsidR="002572BC" w:rsidRDefault="002572BC" w:rsidP="008F2A3E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2"/>
          <w:lang w:val="el-GR"/>
        </w:rPr>
      </w:pPr>
    </w:p>
    <w:p w:rsidR="002572BC" w:rsidRPr="00565C9E" w:rsidRDefault="00ED6635" w:rsidP="00565C9E">
      <w:pPr>
        <w:pStyle w:val="ListParagraph"/>
        <w:spacing w:line="276" w:lineRule="auto"/>
        <w:jc w:val="center"/>
        <w:rPr>
          <w:rFonts w:ascii="Calibri" w:hAnsi="Calibri" w:cs="Calibri"/>
          <w:b w:val="0"/>
          <w:bCs w:val="0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059045" cy="2686050"/>
            <wp:effectExtent l="19050" t="0" r="27305" b="0"/>
            <wp:docPr id="7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72BC" w:rsidRPr="000D0967" w:rsidRDefault="002572BC" w:rsidP="000D0967">
      <w:pPr>
        <w:rPr>
          <w:rFonts w:ascii="Calibri" w:hAnsi="Calibri" w:cs="Calibri"/>
          <w:i/>
          <w:iCs/>
          <w:color w:val="auto"/>
          <w:sz w:val="22"/>
          <w:szCs w:val="22"/>
          <w:lang w:val="el-GR"/>
        </w:rPr>
      </w:pPr>
      <w:r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lastRenderedPageBreak/>
        <w:t>Μηνιαία σ</w:t>
      </w:r>
      <w:r w:rsidRPr="000B0E61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ύγκριση μεταξύ</w:t>
      </w:r>
      <w:r w:rsidR="002A4C0E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Σεπτεμβρίου </w:t>
      </w:r>
      <w:r w:rsidR="002A4C0E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και Οκτωβρίου </w:t>
      </w:r>
      <w:r w:rsidRPr="000B0E61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2014:</w:t>
      </w:r>
    </w:p>
    <w:p w:rsidR="002572BC" w:rsidRPr="000D0967" w:rsidRDefault="002572BC" w:rsidP="000D0967">
      <w:pPr>
        <w:rPr>
          <w:rFonts w:ascii="Calibri" w:hAnsi="Calibri" w:cs="Calibri"/>
          <w:i/>
          <w:iCs/>
          <w:color w:val="auto"/>
          <w:sz w:val="22"/>
          <w:szCs w:val="22"/>
          <w:lang w:val="el-GR"/>
        </w:rPr>
      </w:pPr>
    </w:p>
    <w:p w:rsidR="002572BC" w:rsidRPr="000B0E61" w:rsidRDefault="002572BC" w:rsidP="0015378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0B0E6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Κατά τον μήνα </w:t>
      </w:r>
      <w:r w:rsidR="00626ACD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Οκτώβριο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</w:t>
      </w:r>
      <w:r w:rsidRPr="000B0E6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2014 ο</w:t>
      </w:r>
      <w:r w:rsidRPr="000B0E6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παρουσίασε </w:t>
      </w:r>
      <w:r>
        <w:rPr>
          <w:rFonts w:ascii="Calibri" w:hAnsi="Calibri" w:cs="Calibri"/>
          <w:color w:val="auto"/>
          <w:sz w:val="22"/>
          <w:szCs w:val="22"/>
          <w:lang w:val="el-GR"/>
        </w:rPr>
        <w:t>μείωση</w:t>
      </w:r>
      <w:r w:rsidR="00626A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626ACD" w:rsidRPr="00626ACD">
        <w:rPr>
          <w:rFonts w:ascii="Calibri" w:hAnsi="Calibri" w:cs="Calibri"/>
          <w:bCs w:val="0"/>
          <w:color w:val="auto"/>
          <w:sz w:val="22"/>
          <w:szCs w:val="22"/>
          <w:lang w:val="el-GR"/>
        </w:rPr>
        <w:t>1</w:t>
      </w:r>
      <w:r w:rsidRPr="00626ACD">
        <w:rPr>
          <w:rFonts w:ascii="Calibri" w:hAnsi="Calibri" w:cs="Calibri"/>
          <w:color w:val="auto"/>
          <w:sz w:val="22"/>
          <w:szCs w:val="22"/>
          <w:lang w:val="el-GR"/>
        </w:rPr>
        <w:t>,</w:t>
      </w:r>
      <w:r w:rsidR="00626ACD" w:rsidRPr="00626ACD">
        <w:rPr>
          <w:rFonts w:ascii="Calibri" w:hAnsi="Calibri" w:cs="Calibri"/>
          <w:color w:val="auto"/>
          <w:sz w:val="22"/>
          <w:szCs w:val="22"/>
          <w:lang w:val="el-GR"/>
        </w:rPr>
        <w:t>683</w:t>
      </w:r>
      <w:r w:rsidRPr="008353A3">
        <w:rPr>
          <w:rFonts w:ascii="Calibri" w:hAnsi="Calibri" w:cs="Calibri"/>
          <w:color w:val="auto"/>
          <w:sz w:val="22"/>
          <w:szCs w:val="22"/>
          <w:lang w:val="el-GR"/>
        </w:rPr>
        <w:t xml:space="preserve"> άτομα</w:t>
      </w:r>
      <w:r w:rsidRPr="000B0E6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ή</w:t>
      </w:r>
      <w:r w:rsidR="00626A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C2DF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3,9</w:t>
      </w:r>
      <w:r w:rsidRPr="000B0E6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%, σε σύγκριση με τον προηγού</w:t>
      </w:r>
      <w:r w:rsidRPr="000B0E6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softHyphen/>
        <w:t xml:space="preserve">μενο μήνα. </w:t>
      </w:r>
    </w:p>
    <w:p w:rsidR="002572BC" w:rsidRPr="00622E89" w:rsidRDefault="002572BC" w:rsidP="0015378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Κατά τομέα </w:t>
      </w:r>
      <w:r w:rsidRPr="00622E89">
        <w:rPr>
          <w:rFonts w:ascii="Calibri" w:hAnsi="Calibri" w:cs="Calibri"/>
          <w:color w:val="auto"/>
          <w:sz w:val="22"/>
          <w:szCs w:val="22"/>
          <w:lang w:val="el-GR"/>
        </w:rPr>
        <w:t>οικονομικής δραστηριότητας</w:t>
      </w:r>
      <w:r>
        <w:rPr>
          <w:rFonts w:ascii="Calibri" w:hAnsi="Calibri" w:cs="Calibri"/>
          <w:color w:val="auto"/>
          <w:sz w:val="22"/>
          <w:szCs w:val="22"/>
          <w:lang w:val="el-GR"/>
        </w:rPr>
        <w:t>,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C2DF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οι μοναδικές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α</w:t>
      </w:r>
      <w:r w:rsidR="00FC2DF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υξήσεις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που παρατηρήθηκ</w:t>
      </w:r>
      <w:r w:rsidR="008C536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αν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ήταν στον τομέα των ξενοδοχείων 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(κατά </w:t>
      </w:r>
      <w:r w:rsidR="00FC2DF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476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FC2DF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της ενημέρωσης-επικοινωνίας (κατά 46 άτομα),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ενώ οι μεγαλύτερες μειώσεις παρατηρήθηκαν </w:t>
      </w:r>
      <w:r w:rsidR="008C536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στους νεοεισερχομένους (κατά 811 άτομα), 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στον τομέα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των άλλων υπηρεσιών 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(κατά </w:t>
      </w:r>
      <w:r w:rsidR="00FC2DF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582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FB2F6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στις κατασκευές (κατά 215 άτομα),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στον τομέα της δημόσιας διοίκησης 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(κατά </w:t>
      </w:r>
      <w:r w:rsidR="00FB2F6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198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FB2F6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 στις τράπεζες (κατά 184 άτομα)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στο</w:t>
      </w:r>
      <w:r w:rsidR="00FB2F6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εμπόριο (κατά 161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άτομα).</w:t>
      </w:r>
    </w:p>
    <w:p w:rsidR="002572BC" w:rsidRPr="000B0E61" w:rsidRDefault="002572BC" w:rsidP="001537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Μείωση της ανεργίας παρουσιάστηκε σε όλες τις </w:t>
      </w:r>
      <w:r w:rsidRPr="002503B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επαρχίες</w:t>
      </w:r>
      <w:r w:rsidR="00AF36F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 εκτός από την Αμμόχωστο (αύξηση κατά 271 άτομα)</w:t>
      </w:r>
      <w:r>
        <w:rPr>
          <w:rFonts w:ascii="Calibri" w:hAnsi="Calibri" w:cs="Calibri"/>
          <w:color w:val="auto"/>
          <w:sz w:val="22"/>
          <w:szCs w:val="22"/>
          <w:lang w:val="el-GR"/>
        </w:rPr>
        <w:t>.</w:t>
      </w:r>
      <w:r w:rsidRPr="00144661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AF36FD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701B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Πιο συγκεκριμένα, </w:t>
      </w:r>
      <w:r w:rsidRPr="002503B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η επαρχία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Λευκωσίας</w:t>
      </w:r>
      <w:r w:rsidR="0064159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κατέγραψε μείωση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1,1</w:t>
      </w:r>
      <w:r w:rsidR="00AF36F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 w:rsidR="00DE366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 άτομα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64159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η Λεμεσός </w:t>
      </w:r>
      <w:r w:rsidR="00701B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593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άτομα,</w:t>
      </w:r>
      <w:r w:rsidR="0064159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η Λάρνακα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01B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163 άτομα</w:t>
      </w:r>
      <w:r w:rsidR="0064159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01B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="0064159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η Πάφος </w:t>
      </w:r>
      <w:r w:rsidR="00701B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65</w:t>
      </w:r>
      <w:r w:rsidR="0064159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701B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</w:p>
    <w:p w:rsidR="002572BC" w:rsidRPr="00CC70B4" w:rsidRDefault="002572BC" w:rsidP="00964B29">
      <w:pPr>
        <w:pStyle w:val="ListParagraph"/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  <w:r w:rsidRPr="00B9649F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</w:t>
      </w:r>
    </w:p>
    <w:p w:rsidR="002572BC" w:rsidRPr="00F50C17" w:rsidRDefault="002572BC" w:rsidP="00F50C17">
      <w:pPr>
        <w:spacing w:line="276" w:lineRule="auto"/>
        <w:jc w:val="both"/>
        <w:rPr>
          <w:rFonts w:ascii="Calibri" w:hAnsi="Calibri" w:cs="Calibri"/>
          <w:color w:val="auto"/>
          <w:spacing w:val="4"/>
          <w:sz w:val="22"/>
          <w:szCs w:val="22"/>
          <w:u w:val="single"/>
          <w:lang w:val="el-GR"/>
        </w:rPr>
      </w:pPr>
      <w:r w:rsidRPr="00F50C17">
        <w:rPr>
          <w:rFonts w:ascii="Calibri" w:hAnsi="Calibri" w:cs="Calibri"/>
          <w:color w:val="auto"/>
          <w:spacing w:val="4"/>
          <w:sz w:val="22"/>
          <w:szCs w:val="22"/>
          <w:u w:val="single"/>
          <w:lang w:val="el-GR"/>
        </w:rPr>
        <w:t>ΑΝΑΛΥΣΗ ΣΤΟΙΧΕΙΩΝ ΑΠΟ ΑΛΛΕΣ ΠΗΓΕΣ</w:t>
      </w:r>
    </w:p>
    <w:p w:rsidR="002572BC" w:rsidRPr="00767DB4" w:rsidRDefault="002572BC" w:rsidP="003F6AB1">
      <w:pPr>
        <w:spacing w:line="276" w:lineRule="auto"/>
        <w:jc w:val="both"/>
        <w:rPr>
          <w:rFonts w:ascii="Calibri" w:hAnsi="Calibri" w:cs="Calibri"/>
          <w:color w:val="auto"/>
          <w:spacing w:val="4"/>
          <w:sz w:val="22"/>
          <w:szCs w:val="22"/>
          <w:u w:val="single"/>
          <w:lang w:val="el-GR"/>
        </w:rPr>
      </w:pPr>
    </w:p>
    <w:p w:rsidR="002572BC" w:rsidRPr="00767DB4" w:rsidRDefault="002572BC" w:rsidP="00AB18F9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</w:pPr>
      <w:r w:rsidRPr="00767DB4">
        <w:rPr>
          <w:rFonts w:ascii="Calibri" w:hAnsi="Calibri" w:cs="Calibri"/>
          <w:color w:val="auto"/>
          <w:sz w:val="22"/>
          <w:szCs w:val="22"/>
          <w:lang w:val="el-GR"/>
        </w:rPr>
        <w:t>Μηνιαία Ανεργία Προσαρμοσμένη στις Εποχικές Διακυμάνσεις</w:t>
      </w:r>
      <w:r w:rsidRPr="00767DB4">
        <w:rPr>
          <w:rStyle w:val="FootnoteReference"/>
          <w:rFonts w:ascii="Calibri" w:hAnsi="Calibri" w:cs="Calibri"/>
          <w:color w:val="auto"/>
          <w:spacing w:val="4"/>
          <w:sz w:val="22"/>
          <w:szCs w:val="22"/>
        </w:rPr>
        <w:footnoteReference w:id="3"/>
      </w:r>
      <w:r w:rsidRPr="00767DB4">
        <w:rPr>
          <w:rFonts w:ascii="Calibri" w:hAnsi="Calibri" w:cs="Calibri"/>
          <w:color w:val="auto"/>
          <w:sz w:val="22"/>
          <w:szCs w:val="22"/>
          <w:lang w:val="el-GR"/>
        </w:rPr>
        <w:t xml:space="preserve"> - </w:t>
      </w:r>
      <w:r w:rsidRPr="00767DB4">
        <w:rPr>
          <w:rFonts w:ascii="Calibri" w:hAnsi="Calibri" w:cs="Calibri"/>
          <w:color w:val="auto"/>
          <w:sz w:val="22"/>
          <w:szCs w:val="22"/>
          <w:lang w:val="en-GB"/>
        </w:rPr>
        <w:t>EUROSTAT</w:t>
      </w:r>
      <w:r w:rsidRPr="00767DB4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Pr="00767DB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(βλέπε πίνακα 10)</w:t>
      </w:r>
    </w:p>
    <w:p w:rsidR="002572BC" w:rsidRPr="00767DB4" w:rsidRDefault="002572BC" w:rsidP="00704426">
      <w:pPr>
        <w:pStyle w:val="Title"/>
        <w:tabs>
          <w:tab w:val="left" w:pos="4203"/>
        </w:tabs>
        <w:spacing w:line="276" w:lineRule="auto"/>
        <w:ind w:left="720"/>
        <w:jc w:val="both"/>
        <w:rPr>
          <w:rFonts w:ascii="Calibri" w:hAnsi="Calibri" w:cs="Calibri"/>
          <w:i/>
          <w:iCs/>
          <w:color w:val="auto"/>
          <w:spacing w:val="4"/>
          <w:sz w:val="22"/>
          <w:szCs w:val="22"/>
        </w:rPr>
      </w:pPr>
      <w:r w:rsidRPr="00767DB4">
        <w:rPr>
          <w:rFonts w:ascii="Calibri" w:hAnsi="Calibri" w:cs="Calibri"/>
          <w:i/>
          <w:iCs/>
          <w:color w:val="auto"/>
          <w:spacing w:val="4"/>
          <w:sz w:val="22"/>
          <w:szCs w:val="22"/>
        </w:rPr>
        <w:tab/>
      </w:r>
    </w:p>
    <w:p w:rsidR="002572BC" w:rsidRPr="00767DB4" w:rsidRDefault="002572BC" w:rsidP="001F5CA1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  <w:r w:rsidRPr="00767DB4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Με βάση τα μηνιαία στοιχεία τα οποία είναι προσαρμοσμένα σε εποχικές διακυμάνσεις και υπολογίζονται από την Ευρωπαϊκή Στατιστική Υπηρεσία (EUROSTAT), η οποία λαμβάνει επίσης υπόψη τα στοιχεία της ΔΥΑ για την εγγεγραμμένη ανεργία και τα αποτελέσματα της Έρευνας Εργατικού Δυναμικού (ΕΕΔ) της Στατιστικής Υπηρεσίας Κύπρου, εξάγονται τα ακόλουθα: </w:t>
      </w:r>
    </w:p>
    <w:p w:rsidR="002572BC" w:rsidRPr="00CC70B4" w:rsidRDefault="002572BC" w:rsidP="001F5CA1">
      <w:pPr>
        <w:pStyle w:val="Title"/>
        <w:spacing w:line="276" w:lineRule="auto"/>
        <w:jc w:val="both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highlight w:val="yellow"/>
        </w:rPr>
      </w:pPr>
    </w:p>
    <w:p w:rsidR="00B213CA" w:rsidRPr="00C026D7" w:rsidRDefault="002572BC" w:rsidP="00B213CA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Κ</w:t>
      </w:r>
      <w:r w:rsidRPr="00AF31D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ατά το μήνα </w:t>
      </w:r>
      <w:r w:rsidR="00B046A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Σεπτέμβριο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2014,</w:t>
      </w:r>
      <w:r w:rsidRPr="00AF31D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η ανεργία ανήλθε στο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15,</w:t>
      </w:r>
      <w:r w:rsidR="00B046A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Pr="00AF31D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%. Σε σχέση με τον ίδιο μήνα πέρσι παρουσ</w:t>
      </w:r>
      <w:r w:rsidR="00B046A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ιάστηκε μείωση κατά 1,7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ποσοστιαίες μονάδες </w:t>
      </w:r>
      <w:r w:rsidRPr="00AF31D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(από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16,</w:t>
      </w:r>
      <w:r w:rsidR="00B046A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</w:t>
      </w:r>
      <w:r w:rsidRPr="00AF31D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σε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15,</w:t>
      </w:r>
      <w:r w:rsidR="00B046A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Pr="00AF31D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%).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Σε σχέση</w:t>
      </w:r>
      <w:r w:rsidR="00B046A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με τον προηγούμενο μήνα, Αύγουστο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2014, παρουσιάστηκε μείωση κατά 0,3 ποσοστιαίες μονάδες (από 15,</w:t>
      </w:r>
      <w:r w:rsidR="00B046A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 σε 15,</w:t>
      </w:r>
      <w:r w:rsidR="00B046A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%). </w:t>
      </w:r>
      <w:r w:rsidR="00B213CA" w:rsidRPr="002A11A7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Τόσο ο μέσος όρος ανεργίας στην Ευρώπη των 28, όσο και ο μέσος όρος ανεργίας στην Ευρωζώνη κατά τον ίδιο μήνα, δεν σημείωσαν καμία μεταβολή (παρέμειναν στο 10,1% και 11,5% αντίστοιχα).</w:t>
      </w:r>
    </w:p>
    <w:p w:rsidR="00C026D7" w:rsidRPr="00CC70B4" w:rsidRDefault="00C026D7" w:rsidP="00C026D7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C026D7" w:rsidRPr="00C026D7" w:rsidRDefault="00C026D7" w:rsidP="00C026D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2A11A7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Η ανεργία των νέων κάτω των 25 ετών παρέμεινε σταθερή στο 34,9% τους τελευταίους τρεις μήνες (Ιούλιο μέχρι Σεπτέμβριο 2014), ενώ </w:t>
      </w:r>
      <w:r w:rsidRPr="002A11A7">
        <w:rPr>
          <w:rFonts w:ascii="Calibri" w:hAnsi="Calibri" w:cs="Arial"/>
          <w:b w:val="0"/>
          <w:bCs w:val="0"/>
          <w:color w:val="auto"/>
          <w:sz w:val="22"/>
          <w:szCs w:val="22"/>
          <w:u w:val="single"/>
          <w:lang w:val="el-GR"/>
        </w:rPr>
        <w:t>μειώθηκε</w:t>
      </w:r>
      <w:r w:rsidRPr="002A11A7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κατά 2,1 ποσοστιαίες μονάδες σε σχέση με τον Ιούνιο 2014 και κατά 5 ποσοστιαίες μονάδες σε σχέση με τον Σεπτέμβριο 2013 . </w:t>
      </w:r>
    </w:p>
    <w:p w:rsidR="002572BC" w:rsidRPr="00CC70B4" w:rsidRDefault="002572BC" w:rsidP="00E62B24">
      <w:pPr>
        <w:pStyle w:val="ListParagraph"/>
        <w:spacing w:line="276" w:lineRule="auto"/>
        <w:ind w:left="810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2572BC" w:rsidRPr="003E7B5B" w:rsidRDefault="002572BC" w:rsidP="003E7B5B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Το ποσοστό </w:t>
      </w:r>
      <w:r w:rsidRPr="002D1A8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ανεργίας των</w:t>
      </w:r>
      <w:r w:rsidRPr="003E7B5B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ανδρών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τον μήνα </w:t>
      </w:r>
      <w:r w:rsidR="00E94F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Σεπτέμβριο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2014 υπολογίζεται στο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16,</w:t>
      </w:r>
      <w:r w:rsidR="00E94F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σημειώνοντας μείωση 0,</w:t>
      </w:r>
      <w:r w:rsidR="00E94F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ποσοστιαίων μονάδων 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σε σχέση με τον προηγούμενο μήνα, ενώ σε σχέση με τον ίδιο μήνα του προηγούμενου έτους παρουσίασε μείωση κατά </w:t>
      </w:r>
      <w:r w:rsidR="00E94F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1,4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ποσοστιαίες μονάδες. </w:t>
      </w:r>
    </w:p>
    <w:p w:rsidR="002572BC" w:rsidRPr="0059569F" w:rsidRDefault="002572BC" w:rsidP="003E7B5B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2572BC" w:rsidRDefault="002572BC" w:rsidP="003E7B5B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>Το ποσοστό ανεργίας των</w:t>
      </w:r>
      <w:r w:rsidRPr="003E7B5B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γυναικών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το μήνα </w:t>
      </w:r>
      <w:r w:rsidR="00E94F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Σεπτέμβριο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2014 υπολογίζεται στο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13,</w:t>
      </w:r>
      <w:r w:rsidR="00E94F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%,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σημειώνοντας μείωση 0,</w:t>
      </w:r>
      <w:r w:rsidR="00E94F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ποσοστιαίων μονάδων 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σε σχέση με τον προηγούμενο μήνα, ενώ σε σχέση με τον ίδιο μήνα του προηγούμενου έτους παρουσίασε μείωση κατά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1,</w:t>
      </w:r>
      <w:r w:rsidR="00E94F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9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ποσοστιαίες μονάδες. </w:t>
      </w:r>
    </w:p>
    <w:p w:rsidR="002572BC" w:rsidRPr="0059569F" w:rsidRDefault="002572BC" w:rsidP="00BB2166">
      <w:pPr>
        <w:pStyle w:val="ListParagrap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2572BC" w:rsidRPr="007C3020" w:rsidRDefault="002572BC" w:rsidP="00BB2166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2572BC" w:rsidRPr="00974983" w:rsidRDefault="002572BC" w:rsidP="001B6F3B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</w:pPr>
      <w:r w:rsidRPr="00974983">
        <w:rPr>
          <w:rFonts w:ascii="Calibri" w:hAnsi="Calibri" w:cs="Calibri"/>
          <w:color w:val="auto"/>
          <w:sz w:val="22"/>
          <w:szCs w:val="22"/>
          <w:lang w:val="el-GR"/>
        </w:rPr>
        <w:t>Απασχόληση και Ανεργία με βάση την Έρευνα Εργατικού Δυναμικού –</w:t>
      </w:r>
      <w:r>
        <w:rPr>
          <w:rFonts w:ascii="Calibri" w:hAnsi="Calibri" w:cs="Calibri"/>
          <w:color w:val="auto"/>
          <w:sz w:val="22"/>
          <w:szCs w:val="22"/>
          <w:lang w:val="el-GR"/>
        </w:rPr>
        <w:t xml:space="preserve">Δεύτερο </w:t>
      </w:r>
      <w:r w:rsidRPr="00974983">
        <w:rPr>
          <w:rFonts w:ascii="Calibri" w:hAnsi="Calibri" w:cs="Calibri"/>
          <w:color w:val="auto"/>
          <w:sz w:val="22"/>
          <w:szCs w:val="22"/>
          <w:lang w:val="el-GR"/>
        </w:rPr>
        <w:t>τρίμηνο του 201</w:t>
      </w:r>
      <w:r>
        <w:rPr>
          <w:rFonts w:ascii="Calibri" w:hAnsi="Calibri" w:cs="Calibri"/>
          <w:color w:val="auto"/>
          <w:sz w:val="22"/>
          <w:szCs w:val="22"/>
          <w:lang w:val="el-GR"/>
        </w:rPr>
        <w:t>4</w:t>
      </w:r>
      <w:r w:rsidRPr="00974983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Pr="0097498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(βλέπε πίνακα 11)</w:t>
      </w:r>
    </w:p>
    <w:p w:rsidR="002572BC" w:rsidRPr="007C3020" w:rsidRDefault="002572BC" w:rsidP="001B6F3B">
      <w:pPr>
        <w:spacing w:line="276" w:lineRule="auto"/>
        <w:jc w:val="both"/>
        <w:rPr>
          <w:rFonts w:ascii="Calibri" w:hAnsi="Calibri" w:cs="Calibri"/>
          <w:iCs/>
          <w:color w:val="auto"/>
          <w:sz w:val="22"/>
          <w:szCs w:val="22"/>
          <w:lang w:val="el-GR"/>
        </w:rPr>
      </w:pPr>
    </w:p>
    <w:p w:rsidR="002572BC" w:rsidRDefault="002572BC" w:rsidP="0037333D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Με βάση τα αποτελέσματα της Έρευνας Εργατικού Δυναμικού, που διενεργείται από τη Στατιστική Υπηρεσία σύμφωνα με Ευρωπαϊκό Κανονισμό, το </w:t>
      </w:r>
      <w:r w:rsidRPr="003B7B7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u w:val="single"/>
        </w:rPr>
        <w:t>ποσοστό απασχόλησης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(20-64 ετών) κατά το 2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ο τρίμηνο του 201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4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ήταν 6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7,8% αυξη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μένο κατά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1,6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ποσοστιαίες μονάδες από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προηγούμενο τρίμηνο, και αυξημένο κατά 0,5 ποσοστιαίες μονάδες σε σύγκριση με το αντίστοιχο τρίμηνο του προηγούμενου έτους. Σε σχέση με τον μέσο όρο του 2013 (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67,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2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%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)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το ποσοστό απασχόλησης είναι αυξη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μένο κατά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0,6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μονάδ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ες το δεύτερο τρίμηνο του 2014. 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</w:t>
      </w:r>
    </w:p>
    <w:p w:rsidR="002572BC" w:rsidRPr="00974983" w:rsidRDefault="002572BC" w:rsidP="0037333D">
      <w:pPr>
        <w:pStyle w:val="Title"/>
        <w:spacing w:line="276" w:lineRule="auto"/>
        <w:ind w:left="360"/>
        <w:jc w:val="both"/>
        <w:rPr>
          <w:color w:val="auto"/>
          <w:spacing w:val="4"/>
        </w:rPr>
      </w:pPr>
    </w:p>
    <w:p w:rsidR="002572BC" w:rsidRDefault="002572BC" w:rsidP="003A50C6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Το </w:t>
      </w:r>
      <w:r w:rsidRPr="0026780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u w:val="single"/>
        </w:rPr>
        <w:t>ποσοστό ανεργίας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στις </w:t>
      </w:r>
      <w:r w:rsidRPr="006D3AD9">
        <w:rPr>
          <w:rFonts w:ascii="Calibri" w:hAnsi="Calibri" w:cs="Calibri"/>
          <w:color w:val="auto"/>
          <w:spacing w:val="4"/>
          <w:sz w:val="22"/>
          <w:szCs w:val="22"/>
        </w:rPr>
        <w:t>ηλικίες 15+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κατά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2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τρίμηνο του 2014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ανήλθε στο 1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5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4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%,  παρουσιάζοντας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μείωση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κατά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1,5</w:t>
      </w:r>
      <w:r w:rsidRPr="00993B0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ποσοστιαίες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μονάδ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από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προηγούμενο τρίμηνο. Σε σχέση με το αντίστοιχο τρίμηνο του προηγούμενου έτους δεν </w:t>
      </w:r>
      <w:r w:rsidR="005A0565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υπήρξε διαφοροποίηση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(15,4%)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.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Σε σχέση με τον μέσο όρο του 2013 (15,9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%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)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το ποσοστό ανεργίας μειώθηκε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κατά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0,5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μονάδ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ες το δεύτερο τρίμηνο του 2014. 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</w:t>
      </w:r>
    </w:p>
    <w:p w:rsidR="002572BC" w:rsidRPr="006D3AD9" w:rsidRDefault="002572BC" w:rsidP="0037333D">
      <w:pPr>
        <w:pStyle w:val="Title"/>
        <w:spacing w:line="276" w:lineRule="auto"/>
        <w:ind w:left="360"/>
        <w:jc w:val="both"/>
        <w:rPr>
          <w:color w:val="auto"/>
        </w:rPr>
      </w:pPr>
    </w:p>
    <w:p w:rsidR="002572BC" w:rsidRPr="006D3AD9" w:rsidRDefault="002572BC" w:rsidP="0037333D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Το ποσοστό ανεργίας των </w:t>
      </w:r>
      <w:r w:rsidRPr="006D3AD9">
        <w:rPr>
          <w:rFonts w:ascii="Calibri" w:hAnsi="Calibri" w:cs="Calibri"/>
          <w:color w:val="auto"/>
          <w:spacing w:val="4"/>
          <w:sz w:val="22"/>
          <w:szCs w:val="22"/>
        </w:rPr>
        <w:t>νέων 15-24 ετών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ήταν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2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</w:rPr>
        <w:t xml:space="preserve">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τρίμηνο του 201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4,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3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7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2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%, σημειώνοντας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μείω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ση κατά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2,4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ποσοστιαίες μονάδες σε σύγκριση με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προηγούμενο τρίμηνο και μείωση 3,1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ποσοστιαίες μονάδες σε σύγκριση με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αντίστοιχο τρίμηνο του προηγούμενου έτους. Σε σχέση με τον μέσο όρο του 2013 (38,9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%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)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το ποσοστό ανεργίας των νέων μειώθηκε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κατά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1,7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μονάδ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ες το δεύτερο τρίμηνο του 2014. 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Σημειώνεται ότι η ανεργία μεταξύ των νέων 15-24, ως ποσοστό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κατά αναλογία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του πληθυσμού της ίδιας ηλικιακής ομάδας ήταν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14,7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%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το 2</w:t>
      </w:r>
      <w:r w:rsidRPr="0026780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τρίμηνο του 2014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, παρουσιάζοντας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μείω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ση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1,2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μονάδ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σε σύγκριση με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το 1</w:t>
      </w:r>
      <w:r w:rsidRPr="00917D70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τρίμηνο του 2014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. </w:t>
      </w:r>
    </w:p>
    <w:p w:rsidR="002572BC" w:rsidRPr="00CC70B4" w:rsidRDefault="002572BC" w:rsidP="0037333D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</w:rPr>
      </w:pPr>
    </w:p>
    <w:p w:rsidR="002572BC" w:rsidRPr="006D3AD9" w:rsidRDefault="002572BC" w:rsidP="0037333D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Το μερίδιο των ατόμων με διάρκεια ανεργίας πάνω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από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6 μ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ήνες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στο σύνολο των ανέργων ανερχόταν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κατά το 2</w:t>
      </w:r>
      <w:r w:rsidRPr="00E953BD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τρίμηνο του 2014 στο 70,7%, αυξημένο κατά 5,2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ποσοστιαίες μονάδες σε σύγκριση με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προηγούμενο τρίμηνο και αυξημένο κατά 10,4 ποσοστιαίες μονάδες σε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σύγκριση με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αντίστοιχο τρίμηνο του προηγούμενου έτους.  Συγκρινόμενο με τον μέσο όρο του 2013 (60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%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)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το ποσοστό ανεργίας των ατόμων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με διάρκεια ανεργίας πάνω των 6 μηνών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αυξήθηκε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κατά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10,7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μονάδ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ες το δεύτερο τρίμηνο του 2014. 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</w:t>
      </w:r>
    </w:p>
    <w:p w:rsidR="002572BC" w:rsidRPr="006D3AD9" w:rsidRDefault="002572BC" w:rsidP="0037333D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</w:p>
    <w:p w:rsidR="002572BC" w:rsidRPr="006D3AD9" w:rsidRDefault="005A0565" w:rsidP="00917D70">
      <w:pPr>
        <w:pStyle w:val="Title"/>
        <w:spacing w:line="276" w:lineRule="auto"/>
        <w:ind w:firstLine="360"/>
        <w:jc w:val="both"/>
        <w:rPr>
          <w:rFonts w:ascii="Calibri" w:hAnsi="Calibri" w:cs="Calibri"/>
          <w:color w:val="auto"/>
          <w:spacing w:val="4"/>
          <w:sz w:val="22"/>
          <w:szCs w:val="22"/>
        </w:rPr>
      </w:pPr>
      <w:r>
        <w:rPr>
          <w:rFonts w:ascii="Calibri" w:hAnsi="Calibri" w:cs="Calibri"/>
          <w:color w:val="auto"/>
          <w:spacing w:val="4"/>
          <w:sz w:val="22"/>
          <w:szCs w:val="22"/>
        </w:rPr>
        <w:t>6</w:t>
      </w:r>
      <w:r w:rsidR="00597D1A">
        <w:rPr>
          <w:rFonts w:ascii="Calibri" w:hAnsi="Calibri" w:cs="Calibri"/>
          <w:color w:val="auto"/>
          <w:spacing w:val="4"/>
          <w:sz w:val="22"/>
          <w:szCs w:val="22"/>
        </w:rPr>
        <w:t xml:space="preserve"> Νοεμβρίου </w:t>
      </w:r>
      <w:r w:rsidR="002572BC" w:rsidRPr="006D3AD9">
        <w:rPr>
          <w:rFonts w:ascii="Calibri" w:hAnsi="Calibri" w:cs="Calibri"/>
          <w:color w:val="auto"/>
          <w:spacing w:val="4"/>
          <w:sz w:val="22"/>
          <w:szCs w:val="22"/>
        </w:rPr>
        <w:t>2014</w:t>
      </w:r>
      <w:r w:rsidR="002572BC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2572BC" w:rsidRPr="006D3AD9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2572BC" w:rsidRPr="006D3AD9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2572BC" w:rsidRPr="006D3AD9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2572BC" w:rsidRPr="006D3AD9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2572BC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2572BC" w:rsidRPr="006D3AD9">
        <w:rPr>
          <w:rFonts w:ascii="Calibri" w:hAnsi="Calibri" w:cs="Calibri"/>
          <w:color w:val="auto"/>
          <w:spacing w:val="4"/>
          <w:sz w:val="22"/>
          <w:szCs w:val="22"/>
        </w:rPr>
        <w:t>Παρατηρητήριο Αγοράς Εργασίας</w:t>
      </w:r>
    </w:p>
    <w:p w:rsidR="002572BC" w:rsidRPr="0059569F" w:rsidRDefault="002572BC" w:rsidP="00687003">
      <w:pPr>
        <w:pStyle w:val="Title"/>
        <w:spacing w:line="276" w:lineRule="auto"/>
        <w:ind w:left="6840" w:firstLine="360"/>
        <w:rPr>
          <w:rFonts w:ascii="Calibri" w:hAnsi="Calibri" w:cs="Calibri"/>
          <w:color w:val="auto"/>
          <w:spacing w:val="4"/>
          <w:sz w:val="22"/>
          <w:szCs w:val="22"/>
          <w:lang w:val="en-US"/>
        </w:rPr>
      </w:pPr>
      <w:r w:rsidRPr="006D3AD9">
        <w:rPr>
          <w:rFonts w:ascii="Calibri" w:hAnsi="Calibri" w:cs="Calibri"/>
          <w:color w:val="auto"/>
          <w:spacing w:val="4"/>
          <w:sz w:val="22"/>
          <w:szCs w:val="22"/>
        </w:rPr>
        <w:t>Τμήμα</w:t>
      </w:r>
      <w:r w:rsidRPr="0059569F">
        <w:rPr>
          <w:rFonts w:ascii="Calibri" w:hAnsi="Calibri" w:cs="Calibri"/>
          <w:color w:val="auto"/>
          <w:spacing w:val="4"/>
          <w:sz w:val="22"/>
          <w:szCs w:val="22"/>
          <w:lang w:val="en-US"/>
        </w:rPr>
        <w:t xml:space="preserve"> </w:t>
      </w:r>
      <w:r w:rsidRPr="006D3AD9">
        <w:rPr>
          <w:rFonts w:ascii="Calibri" w:hAnsi="Calibri" w:cs="Calibri"/>
          <w:color w:val="auto"/>
          <w:spacing w:val="4"/>
          <w:sz w:val="22"/>
          <w:szCs w:val="22"/>
        </w:rPr>
        <w:t>Εργασίας</w:t>
      </w:r>
    </w:p>
    <w:p w:rsidR="007C3020" w:rsidRDefault="007C3020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CC70B4" w:rsidRDefault="00CC70B4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CC70B4" w:rsidRDefault="00CC70B4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2572BC" w:rsidRPr="00CC70B4" w:rsidRDefault="002572BC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CC70B4"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  <w:t>ΜΡη</w:t>
      </w:r>
      <w:r w:rsidRPr="00CC70B4">
        <w:rPr>
          <w:rFonts w:ascii="Calibri" w:hAnsi="Calibri" w:cs="Calibri"/>
          <w:b w:val="0"/>
          <w:bCs w:val="0"/>
          <w:color w:val="auto"/>
          <w:sz w:val="18"/>
          <w:szCs w:val="18"/>
        </w:rPr>
        <w:t>,</w:t>
      </w:r>
      <w:fldSimple w:instr=" FILENAME  \p  \* MERGEFORMAT ">
        <w:r w:rsidR="0059569F" w:rsidRPr="00CC70B4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C:\Documents and Settings\MOF\My Documents\M Rigou\Ανεργία - Μηνιαίες Εκθέσεις\2014 registered unemployed-monthly reports\October 2014\Reports\Παράρτημα Ι report.docx</w:t>
        </w:r>
      </w:fldSimple>
      <w:r w:rsidRPr="00CC70B4">
        <w:rPr>
          <w:rFonts w:ascii="Calibri" w:hAnsi="Calibri" w:cs="Calibri"/>
          <w:b w:val="0"/>
          <w:bCs w:val="0"/>
          <w:color w:val="auto"/>
          <w:sz w:val="18"/>
          <w:szCs w:val="18"/>
        </w:rPr>
        <w:tab/>
      </w:r>
    </w:p>
    <w:sectPr w:rsidR="002572BC" w:rsidRPr="00CC70B4" w:rsidSect="002B08DA">
      <w:footerReference w:type="default" r:id="rId14"/>
      <w:pgSz w:w="11907" w:h="16839" w:code="9"/>
      <w:pgMar w:top="1440" w:right="1559" w:bottom="1440" w:left="1080" w:header="706" w:footer="401" w:gutter="23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A08" w:rsidRDefault="006D6A08">
      <w:r>
        <w:separator/>
      </w:r>
    </w:p>
  </w:endnote>
  <w:endnote w:type="continuationSeparator" w:id="1">
    <w:p w:rsidR="006D6A08" w:rsidRDefault="006D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BC" w:rsidRPr="00D86598" w:rsidRDefault="00EB1768">
    <w:pPr>
      <w:pStyle w:val="Footer"/>
      <w:jc w:val="right"/>
      <w:rPr>
        <w:sz w:val="20"/>
        <w:szCs w:val="20"/>
      </w:rPr>
    </w:pPr>
    <w:r w:rsidRPr="00D86598">
      <w:rPr>
        <w:sz w:val="20"/>
        <w:szCs w:val="20"/>
      </w:rPr>
      <w:fldChar w:fldCharType="begin"/>
    </w:r>
    <w:r w:rsidR="002572BC" w:rsidRPr="00D86598">
      <w:rPr>
        <w:sz w:val="20"/>
        <w:szCs w:val="20"/>
      </w:rPr>
      <w:instrText xml:space="preserve"> PAGE   \* MERGEFORMAT </w:instrText>
    </w:r>
    <w:r w:rsidRPr="00D86598">
      <w:rPr>
        <w:sz w:val="20"/>
        <w:szCs w:val="20"/>
      </w:rPr>
      <w:fldChar w:fldCharType="separate"/>
    </w:r>
    <w:r w:rsidR="00CC70B4">
      <w:rPr>
        <w:noProof/>
        <w:sz w:val="20"/>
        <w:szCs w:val="20"/>
      </w:rPr>
      <w:t>6</w:t>
    </w:r>
    <w:r w:rsidRPr="00D86598">
      <w:rPr>
        <w:sz w:val="20"/>
        <w:szCs w:val="20"/>
      </w:rPr>
      <w:fldChar w:fldCharType="end"/>
    </w:r>
  </w:p>
  <w:p w:rsidR="002572BC" w:rsidRDefault="002572BC" w:rsidP="00E1739D">
    <w:pPr>
      <w:pStyle w:val="Footer"/>
      <w:ind w:right="360"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A08" w:rsidRDefault="006D6A08">
      <w:r>
        <w:separator/>
      </w:r>
    </w:p>
  </w:footnote>
  <w:footnote w:type="continuationSeparator" w:id="1">
    <w:p w:rsidR="006D6A08" w:rsidRDefault="006D6A08">
      <w:r>
        <w:continuationSeparator/>
      </w:r>
    </w:p>
  </w:footnote>
  <w:footnote w:id="2">
    <w:p w:rsidR="002572BC" w:rsidRPr="00DE7394" w:rsidRDefault="002572BC" w:rsidP="003F6AB1">
      <w:pPr>
        <w:pStyle w:val="FootnoteText"/>
        <w:spacing w:before="80"/>
        <w:rPr>
          <w:lang w:val="el-GR"/>
        </w:rPr>
      </w:pPr>
      <w:r>
        <w:rPr>
          <w:rStyle w:val="FootnoteReference"/>
        </w:rPr>
        <w:footnoteRef/>
      </w:r>
      <w:r>
        <w:rPr>
          <w:lang w:val="el-GR"/>
        </w:rPr>
        <w:t xml:space="preserve">Η εγγεγραμμένη ανεργία αφορά μόνο τους ανέργους που εγγράφονται στα κατά τόπους Γραφεία Εργασίας και ως εκ τούτου δεν είναι αντιπροσωπευτική της συνολικής ανεργίας. </w:t>
      </w:r>
    </w:p>
  </w:footnote>
  <w:footnote w:id="3">
    <w:p w:rsidR="002572BC" w:rsidRPr="00DE7394" w:rsidRDefault="002572BC" w:rsidP="003F6AB1">
      <w:pPr>
        <w:pStyle w:val="FootnoteText"/>
        <w:jc w:val="both"/>
        <w:rPr>
          <w:lang w:val="el-GR"/>
        </w:rPr>
      </w:pPr>
      <w:r>
        <w:rPr>
          <w:rStyle w:val="FootnoteReference"/>
        </w:rPr>
        <w:footnoteRef/>
      </w:r>
      <w:r>
        <w:rPr>
          <w:lang w:val="el-GR"/>
        </w:rPr>
        <w:t xml:space="preserve">Τα στοιχεία της </w:t>
      </w:r>
      <w:r>
        <w:t>EUROSTAT</w:t>
      </w:r>
      <w:r>
        <w:rPr>
          <w:lang w:val="el-GR"/>
        </w:rPr>
        <w:t xml:space="preserve"> είναι </w:t>
      </w:r>
      <w:r w:rsidRPr="00AF31D1">
        <w:rPr>
          <w:rFonts w:ascii="Calibri" w:hAnsi="Calibri" w:cs="Calibri"/>
          <w:color w:val="auto"/>
          <w:sz w:val="22"/>
          <w:szCs w:val="22"/>
          <w:lang w:val="el-GR"/>
        </w:rPr>
        <w:t>προκαταρκτικά</w:t>
      </w:r>
      <w:r>
        <w:rPr>
          <w:rFonts w:ascii="Calibri" w:hAnsi="Calibri" w:cs="Calibri"/>
          <w:color w:val="auto"/>
          <w:sz w:val="22"/>
          <w:szCs w:val="22"/>
          <w:lang w:val="el-GR"/>
        </w:rPr>
        <w:t>,</w:t>
      </w:r>
      <w:r w:rsidRPr="00AF31D1">
        <w:rPr>
          <w:rFonts w:ascii="Calibri" w:hAnsi="Calibri" w:cs="Calibri"/>
          <w:color w:val="auto"/>
          <w:sz w:val="22"/>
          <w:szCs w:val="22"/>
          <w:lang w:val="el-GR"/>
        </w:rPr>
        <w:t xml:space="preserve"> αποτελούν πρόβλεψη</w:t>
      </w:r>
      <w:r>
        <w:rPr>
          <w:rFonts w:ascii="Calibri" w:hAnsi="Calibri" w:cs="Calibri"/>
          <w:color w:val="auto"/>
          <w:sz w:val="22"/>
          <w:szCs w:val="22"/>
          <w:lang w:val="el-GR"/>
        </w:rPr>
        <w:t xml:space="preserve"> και είναι</w:t>
      </w:r>
      <w:r>
        <w:rPr>
          <w:lang w:val="el-GR"/>
        </w:rPr>
        <w:t xml:space="preserve"> διαθέσιμα με ένα μήνα καθυστέρηση.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59"/>
    <w:multiLevelType w:val="hybridMultilevel"/>
    <w:tmpl w:val="D6D2CE04"/>
    <w:lvl w:ilvl="0" w:tplc="1884CDF2">
      <w:start w:val="1"/>
      <w:numFmt w:val="bullet"/>
      <w:lvlText w:val="-"/>
      <w:lvlJc w:val="left"/>
      <w:pPr>
        <w:tabs>
          <w:tab w:val="num" w:pos="1180"/>
        </w:tabs>
        <w:ind w:left="1180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1">
    <w:nsid w:val="0F2A5FE1"/>
    <w:multiLevelType w:val="hybridMultilevel"/>
    <w:tmpl w:val="02B41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260AA"/>
    <w:multiLevelType w:val="hybridMultilevel"/>
    <w:tmpl w:val="2E361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0D126A3"/>
    <w:multiLevelType w:val="hybridMultilevel"/>
    <w:tmpl w:val="C6C05040"/>
    <w:lvl w:ilvl="0" w:tplc="E7F8B79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2EC7F57"/>
    <w:multiLevelType w:val="hybridMultilevel"/>
    <w:tmpl w:val="26F61AEA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356BDE"/>
    <w:multiLevelType w:val="hybridMultilevel"/>
    <w:tmpl w:val="DE481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4D06F59"/>
    <w:multiLevelType w:val="hybridMultilevel"/>
    <w:tmpl w:val="04D24F5C"/>
    <w:lvl w:ilvl="0" w:tplc="C406AE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BD00E93"/>
    <w:multiLevelType w:val="hybridMultilevel"/>
    <w:tmpl w:val="B58AFDBE"/>
    <w:lvl w:ilvl="0" w:tplc="0AE8C130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E9D7C94"/>
    <w:multiLevelType w:val="hybridMultilevel"/>
    <w:tmpl w:val="BBE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4955A0"/>
    <w:multiLevelType w:val="hybridMultilevel"/>
    <w:tmpl w:val="5F8E3A82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581389"/>
    <w:multiLevelType w:val="hybridMultilevel"/>
    <w:tmpl w:val="5E3A7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4D0E0B"/>
    <w:multiLevelType w:val="hybridMultilevel"/>
    <w:tmpl w:val="FFF638D2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D102A0"/>
    <w:multiLevelType w:val="hybridMultilevel"/>
    <w:tmpl w:val="B2700208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E4F1A07"/>
    <w:multiLevelType w:val="hybridMultilevel"/>
    <w:tmpl w:val="BE4AB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591094"/>
    <w:multiLevelType w:val="hybridMultilevel"/>
    <w:tmpl w:val="6BFC2754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D4095A"/>
    <w:multiLevelType w:val="hybridMultilevel"/>
    <w:tmpl w:val="85324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28C6"/>
    <w:multiLevelType w:val="hybridMultilevel"/>
    <w:tmpl w:val="060070D4"/>
    <w:lvl w:ilvl="0" w:tplc="CD085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3A30AE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01E55"/>
    <w:multiLevelType w:val="hybridMultilevel"/>
    <w:tmpl w:val="D93EE190"/>
    <w:lvl w:ilvl="0" w:tplc="E7F8B79C">
      <w:start w:val="1"/>
      <w:numFmt w:val="bullet"/>
      <w:lvlText w:val=""/>
      <w:lvlJc w:val="left"/>
      <w:pPr>
        <w:ind w:left="14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18">
    <w:nsid w:val="56E439FB"/>
    <w:multiLevelType w:val="hybridMultilevel"/>
    <w:tmpl w:val="3FF62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DC2AE6"/>
    <w:multiLevelType w:val="hybridMultilevel"/>
    <w:tmpl w:val="ADA66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04D2987"/>
    <w:multiLevelType w:val="hybridMultilevel"/>
    <w:tmpl w:val="C114CF2A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A5C1BA8"/>
    <w:multiLevelType w:val="hybridMultilevel"/>
    <w:tmpl w:val="3BDCC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156493"/>
    <w:multiLevelType w:val="hybridMultilevel"/>
    <w:tmpl w:val="4718E312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1395E44"/>
    <w:multiLevelType w:val="hybridMultilevel"/>
    <w:tmpl w:val="5DA4FAA2"/>
    <w:lvl w:ilvl="0" w:tplc="4C8E4B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714C3D1C"/>
    <w:multiLevelType w:val="hybridMultilevel"/>
    <w:tmpl w:val="243213C6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748F5D76"/>
    <w:multiLevelType w:val="hybridMultilevel"/>
    <w:tmpl w:val="DDC8BBBC"/>
    <w:lvl w:ilvl="0" w:tplc="0EFC505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5A46FF6"/>
    <w:multiLevelType w:val="hybridMultilevel"/>
    <w:tmpl w:val="1B062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8CD15DF"/>
    <w:multiLevelType w:val="hybridMultilevel"/>
    <w:tmpl w:val="8BD61078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7CD424DA"/>
    <w:multiLevelType w:val="hybridMultilevel"/>
    <w:tmpl w:val="5D944C02"/>
    <w:lvl w:ilvl="0" w:tplc="E7F8B79C">
      <w:start w:val="1"/>
      <w:numFmt w:val="bullet"/>
      <w:lvlText w:val="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0">
    <w:nsid w:val="7F024944"/>
    <w:multiLevelType w:val="hybridMultilevel"/>
    <w:tmpl w:val="17846946"/>
    <w:lvl w:ilvl="0" w:tplc="8A8A47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20"/>
  </w:num>
  <w:num w:numId="5">
    <w:abstractNumId w:val="0"/>
  </w:num>
  <w:num w:numId="6">
    <w:abstractNumId w:val="19"/>
  </w:num>
  <w:num w:numId="7">
    <w:abstractNumId w:val="27"/>
  </w:num>
  <w:num w:numId="8">
    <w:abstractNumId w:val="22"/>
  </w:num>
  <w:num w:numId="9">
    <w:abstractNumId w:val="10"/>
  </w:num>
  <w:num w:numId="10">
    <w:abstractNumId w:val="7"/>
  </w:num>
  <w:num w:numId="11">
    <w:abstractNumId w:val="2"/>
  </w:num>
  <w:num w:numId="12">
    <w:abstractNumId w:val="16"/>
  </w:num>
  <w:num w:numId="13">
    <w:abstractNumId w:val="26"/>
  </w:num>
  <w:num w:numId="14">
    <w:abstractNumId w:val="30"/>
  </w:num>
  <w:num w:numId="15">
    <w:abstractNumId w:val="23"/>
  </w:num>
  <w:num w:numId="16">
    <w:abstractNumId w:val="24"/>
  </w:num>
  <w:num w:numId="17">
    <w:abstractNumId w:val="21"/>
  </w:num>
  <w:num w:numId="18">
    <w:abstractNumId w:val="14"/>
  </w:num>
  <w:num w:numId="19">
    <w:abstractNumId w:val="4"/>
  </w:num>
  <w:num w:numId="20">
    <w:abstractNumId w:val="11"/>
  </w:num>
  <w:num w:numId="21">
    <w:abstractNumId w:val="5"/>
  </w:num>
  <w:num w:numId="22">
    <w:abstractNumId w:val="1"/>
  </w:num>
  <w:num w:numId="23">
    <w:abstractNumId w:val="18"/>
  </w:num>
  <w:num w:numId="24">
    <w:abstractNumId w:val="9"/>
  </w:num>
  <w:num w:numId="25">
    <w:abstractNumId w:val="28"/>
  </w:num>
  <w:num w:numId="26">
    <w:abstractNumId w:val="3"/>
  </w:num>
  <w:num w:numId="27">
    <w:abstractNumId w:val="29"/>
  </w:num>
  <w:num w:numId="28">
    <w:abstractNumId w:val="17"/>
  </w:num>
  <w:num w:numId="29">
    <w:abstractNumId w:val="25"/>
  </w:num>
  <w:num w:numId="30">
    <w:abstractNumId w:val="1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2564"/>
    <w:rsid w:val="000002D8"/>
    <w:rsid w:val="000005C8"/>
    <w:rsid w:val="00000A51"/>
    <w:rsid w:val="00001AFF"/>
    <w:rsid w:val="00002B46"/>
    <w:rsid w:val="0000322F"/>
    <w:rsid w:val="000037F3"/>
    <w:rsid w:val="0000387B"/>
    <w:rsid w:val="000056E2"/>
    <w:rsid w:val="00005BCF"/>
    <w:rsid w:val="000062B7"/>
    <w:rsid w:val="000064B5"/>
    <w:rsid w:val="00006BCD"/>
    <w:rsid w:val="000071D9"/>
    <w:rsid w:val="00007776"/>
    <w:rsid w:val="000107F7"/>
    <w:rsid w:val="0001206A"/>
    <w:rsid w:val="00012FCE"/>
    <w:rsid w:val="000130E8"/>
    <w:rsid w:val="0001395E"/>
    <w:rsid w:val="00013E64"/>
    <w:rsid w:val="000143F8"/>
    <w:rsid w:val="00015215"/>
    <w:rsid w:val="000153DC"/>
    <w:rsid w:val="00015698"/>
    <w:rsid w:val="0001621A"/>
    <w:rsid w:val="000164C0"/>
    <w:rsid w:val="000168FD"/>
    <w:rsid w:val="000173AE"/>
    <w:rsid w:val="0001751A"/>
    <w:rsid w:val="00020227"/>
    <w:rsid w:val="000203D1"/>
    <w:rsid w:val="00020505"/>
    <w:rsid w:val="000205AE"/>
    <w:rsid w:val="000218C2"/>
    <w:rsid w:val="00021C0C"/>
    <w:rsid w:val="00022911"/>
    <w:rsid w:val="000238A7"/>
    <w:rsid w:val="00023A58"/>
    <w:rsid w:val="00024297"/>
    <w:rsid w:val="00024BEE"/>
    <w:rsid w:val="00024FDB"/>
    <w:rsid w:val="00025C09"/>
    <w:rsid w:val="00025C9F"/>
    <w:rsid w:val="00026774"/>
    <w:rsid w:val="00027651"/>
    <w:rsid w:val="00030A73"/>
    <w:rsid w:val="00030C63"/>
    <w:rsid w:val="00030F6E"/>
    <w:rsid w:val="00031900"/>
    <w:rsid w:val="00033271"/>
    <w:rsid w:val="00033B05"/>
    <w:rsid w:val="0003432D"/>
    <w:rsid w:val="00034711"/>
    <w:rsid w:val="00034826"/>
    <w:rsid w:val="00034C70"/>
    <w:rsid w:val="00035661"/>
    <w:rsid w:val="00036659"/>
    <w:rsid w:val="00037076"/>
    <w:rsid w:val="00037B02"/>
    <w:rsid w:val="00037B69"/>
    <w:rsid w:val="00040382"/>
    <w:rsid w:val="00040819"/>
    <w:rsid w:val="00040C24"/>
    <w:rsid w:val="00042624"/>
    <w:rsid w:val="00042734"/>
    <w:rsid w:val="000428F4"/>
    <w:rsid w:val="00043BC2"/>
    <w:rsid w:val="00043E74"/>
    <w:rsid w:val="00045B48"/>
    <w:rsid w:val="000465C0"/>
    <w:rsid w:val="000467D9"/>
    <w:rsid w:val="00046B33"/>
    <w:rsid w:val="00047258"/>
    <w:rsid w:val="000476AA"/>
    <w:rsid w:val="000477A2"/>
    <w:rsid w:val="00050179"/>
    <w:rsid w:val="00050785"/>
    <w:rsid w:val="00051E9D"/>
    <w:rsid w:val="00054252"/>
    <w:rsid w:val="0005513D"/>
    <w:rsid w:val="0005582E"/>
    <w:rsid w:val="00055BB7"/>
    <w:rsid w:val="0005612F"/>
    <w:rsid w:val="000574CE"/>
    <w:rsid w:val="000578CE"/>
    <w:rsid w:val="000603FD"/>
    <w:rsid w:val="00061E5D"/>
    <w:rsid w:val="000629AF"/>
    <w:rsid w:val="00062D35"/>
    <w:rsid w:val="00062DAE"/>
    <w:rsid w:val="0006392C"/>
    <w:rsid w:val="00063AA3"/>
    <w:rsid w:val="000651A0"/>
    <w:rsid w:val="00065A8D"/>
    <w:rsid w:val="00065D44"/>
    <w:rsid w:val="000666EB"/>
    <w:rsid w:val="00066E25"/>
    <w:rsid w:val="000679E4"/>
    <w:rsid w:val="00067B12"/>
    <w:rsid w:val="00070D1F"/>
    <w:rsid w:val="000719C5"/>
    <w:rsid w:val="00071D2E"/>
    <w:rsid w:val="00072614"/>
    <w:rsid w:val="00072638"/>
    <w:rsid w:val="000745AB"/>
    <w:rsid w:val="00074D17"/>
    <w:rsid w:val="000774CB"/>
    <w:rsid w:val="0007755D"/>
    <w:rsid w:val="000777D8"/>
    <w:rsid w:val="00077A8E"/>
    <w:rsid w:val="00080002"/>
    <w:rsid w:val="000808B4"/>
    <w:rsid w:val="00080AEF"/>
    <w:rsid w:val="0008120B"/>
    <w:rsid w:val="0008153D"/>
    <w:rsid w:val="000826BC"/>
    <w:rsid w:val="0008290B"/>
    <w:rsid w:val="00082AF4"/>
    <w:rsid w:val="00082EEA"/>
    <w:rsid w:val="00083079"/>
    <w:rsid w:val="00083252"/>
    <w:rsid w:val="00084745"/>
    <w:rsid w:val="00084790"/>
    <w:rsid w:val="0008485C"/>
    <w:rsid w:val="00084F89"/>
    <w:rsid w:val="00085DAD"/>
    <w:rsid w:val="00087DA7"/>
    <w:rsid w:val="0009228E"/>
    <w:rsid w:val="000923B3"/>
    <w:rsid w:val="00092F6F"/>
    <w:rsid w:val="000938CC"/>
    <w:rsid w:val="00093C1F"/>
    <w:rsid w:val="000953A7"/>
    <w:rsid w:val="00096423"/>
    <w:rsid w:val="000966C8"/>
    <w:rsid w:val="00096956"/>
    <w:rsid w:val="00097859"/>
    <w:rsid w:val="000A05B4"/>
    <w:rsid w:val="000A0781"/>
    <w:rsid w:val="000A1651"/>
    <w:rsid w:val="000A2094"/>
    <w:rsid w:val="000A291E"/>
    <w:rsid w:val="000A2D09"/>
    <w:rsid w:val="000A2E8B"/>
    <w:rsid w:val="000A4931"/>
    <w:rsid w:val="000A4D04"/>
    <w:rsid w:val="000A5A65"/>
    <w:rsid w:val="000A6573"/>
    <w:rsid w:val="000A7B48"/>
    <w:rsid w:val="000A7C4C"/>
    <w:rsid w:val="000B0889"/>
    <w:rsid w:val="000B0E61"/>
    <w:rsid w:val="000B0E81"/>
    <w:rsid w:val="000B1863"/>
    <w:rsid w:val="000B1FDB"/>
    <w:rsid w:val="000B2086"/>
    <w:rsid w:val="000B20E8"/>
    <w:rsid w:val="000B2917"/>
    <w:rsid w:val="000B37C1"/>
    <w:rsid w:val="000B404F"/>
    <w:rsid w:val="000B4BAA"/>
    <w:rsid w:val="000B5586"/>
    <w:rsid w:val="000B668A"/>
    <w:rsid w:val="000C043C"/>
    <w:rsid w:val="000C0F49"/>
    <w:rsid w:val="000C10C1"/>
    <w:rsid w:val="000C2635"/>
    <w:rsid w:val="000C2825"/>
    <w:rsid w:val="000C2A94"/>
    <w:rsid w:val="000C33B6"/>
    <w:rsid w:val="000C3535"/>
    <w:rsid w:val="000C5052"/>
    <w:rsid w:val="000C5910"/>
    <w:rsid w:val="000C5AAD"/>
    <w:rsid w:val="000C6D84"/>
    <w:rsid w:val="000C7289"/>
    <w:rsid w:val="000D0688"/>
    <w:rsid w:val="000D06F8"/>
    <w:rsid w:val="000D0967"/>
    <w:rsid w:val="000D0F80"/>
    <w:rsid w:val="000D1208"/>
    <w:rsid w:val="000D20A5"/>
    <w:rsid w:val="000D2B22"/>
    <w:rsid w:val="000D3183"/>
    <w:rsid w:val="000D3C86"/>
    <w:rsid w:val="000D3D6E"/>
    <w:rsid w:val="000D52F4"/>
    <w:rsid w:val="000D5305"/>
    <w:rsid w:val="000D583B"/>
    <w:rsid w:val="000D5D3C"/>
    <w:rsid w:val="000D5D46"/>
    <w:rsid w:val="000D633B"/>
    <w:rsid w:val="000D673E"/>
    <w:rsid w:val="000E2651"/>
    <w:rsid w:val="000E2916"/>
    <w:rsid w:val="000E33AA"/>
    <w:rsid w:val="000E412C"/>
    <w:rsid w:val="000E512C"/>
    <w:rsid w:val="000E5550"/>
    <w:rsid w:val="000E57D4"/>
    <w:rsid w:val="000E7DAE"/>
    <w:rsid w:val="000E7E00"/>
    <w:rsid w:val="000F045F"/>
    <w:rsid w:val="000F0659"/>
    <w:rsid w:val="000F0BD3"/>
    <w:rsid w:val="000F0DD9"/>
    <w:rsid w:val="000F1077"/>
    <w:rsid w:val="000F14A3"/>
    <w:rsid w:val="000F3F9F"/>
    <w:rsid w:val="000F44AC"/>
    <w:rsid w:val="000F5AE3"/>
    <w:rsid w:val="000F6B14"/>
    <w:rsid w:val="000F7B9D"/>
    <w:rsid w:val="00100222"/>
    <w:rsid w:val="00100909"/>
    <w:rsid w:val="00103665"/>
    <w:rsid w:val="00103986"/>
    <w:rsid w:val="00103EFA"/>
    <w:rsid w:val="00104B4D"/>
    <w:rsid w:val="00104D27"/>
    <w:rsid w:val="00104D5D"/>
    <w:rsid w:val="00106B14"/>
    <w:rsid w:val="00107135"/>
    <w:rsid w:val="001075D1"/>
    <w:rsid w:val="001105BB"/>
    <w:rsid w:val="00110CFB"/>
    <w:rsid w:val="00111830"/>
    <w:rsid w:val="00112178"/>
    <w:rsid w:val="001122EF"/>
    <w:rsid w:val="00112E13"/>
    <w:rsid w:val="0011375F"/>
    <w:rsid w:val="00113F6D"/>
    <w:rsid w:val="00116371"/>
    <w:rsid w:val="00116DF4"/>
    <w:rsid w:val="001172B1"/>
    <w:rsid w:val="001178CE"/>
    <w:rsid w:val="00120478"/>
    <w:rsid w:val="001204E7"/>
    <w:rsid w:val="0012094F"/>
    <w:rsid w:val="00120F8A"/>
    <w:rsid w:val="0012171C"/>
    <w:rsid w:val="00121C5D"/>
    <w:rsid w:val="00121D98"/>
    <w:rsid w:val="00121EB2"/>
    <w:rsid w:val="0012459E"/>
    <w:rsid w:val="0012487B"/>
    <w:rsid w:val="0012495A"/>
    <w:rsid w:val="00124A37"/>
    <w:rsid w:val="00124D41"/>
    <w:rsid w:val="0012633F"/>
    <w:rsid w:val="00127D29"/>
    <w:rsid w:val="00127E2F"/>
    <w:rsid w:val="00130AB3"/>
    <w:rsid w:val="00130F90"/>
    <w:rsid w:val="001312B7"/>
    <w:rsid w:val="00131EB1"/>
    <w:rsid w:val="00133FC8"/>
    <w:rsid w:val="00134539"/>
    <w:rsid w:val="00134EFA"/>
    <w:rsid w:val="00136321"/>
    <w:rsid w:val="0013688B"/>
    <w:rsid w:val="001373E7"/>
    <w:rsid w:val="0014034F"/>
    <w:rsid w:val="0014059F"/>
    <w:rsid w:val="00140AE1"/>
    <w:rsid w:val="00140D33"/>
    <w:rsid w:val="00140EAA"/>
    <w:rsid w:val="00142377"/>
    <w:rsid w:val="00142DD8"/>
    <w:rsid w:val="00143530"/>
    <w:rsid w:val="00144307"/>
    <w:rsid w:val="00144390"/>
    <w:rsid w:val="00144661"/>
    <w:rsid w:val="0014593C"/>
    <w:rsid w:val="001464FA"/>
    <w:rsid w:val="00146B9F"/>
    <w:rsid w:val="00146F69"/>
    <w:rsid w:val="00147993"/>
    <w:rsid w:val="001479FA"/>
    <w:rsid w:val="00150015"/>
    <w:rsid w:val="001505B0"/>
    <w:rsid w:val="00150777"/>
    <w:rsid w:val="00150830"/>
    <w:rsid w:val="00150847"/>
    <w:rsid w:val="001512BD"/>
    <w:rsid w:val="00151452"/>
    <w:rsid w:val="00151D54"/>
    <w:rsid w:val="00151FBA"/>
    <w:rsid w:val="00152DC3"/>
    <w:rsid w:val="00153082"/>
    <w:rsid w:val="0015328D"/>
    <w:rsid w:val="001535F3"/>
    <w:rsid w:val="00153747"/>
    <w:rsid w:val="00153785"/>
    <w:rsid w:val="00155C1D"/>
    <w:rsid w:val="00156447"/>
    <w:rsid w:val="001565D8"/>
    <w:rsid w:val="00157A11"/>
    <w:rsid w:val="001617B4"/>
    <w:rsid w:val="001618EF"/>
    <w:rsid w:val="0016230C"/>
    <w:rsid w:val="001625FD"/>
    <w:rsid w:val="001627CC"/>
    <w:rsid w:val="00162E96"/>
    <w:rsid w:val="00162F92"/>
    <w:rsid w:val="00163063"/>
    <w:rsid w:val="00165114"/>
    <w:rsid w:val="001654A6"/>
    <w:rsid w:val="00165A47"/>
    <w:rsid w:val="00165C66"/>
    <w:rsid w:val="00165CCD"/>
    <w:rsid w:val="0016706E"/>
    <w:rsid w:val="00170496"/>
    <w:rsid w:val="00170E92"/>
    <w:rsid w:val="00172613"/>
    <w:rsid w:val="001726D7"/>
    <w:rsid w:val="00172AAD"/>
    <w:rsid w:val="00172AD9"/>
    <w:rsid w:val="00173AA8"/>
    <w:rsid w:val="00173E45"/>
    <w:rsid w:val="00174017"/>
    <w:rsid w:val="00174269"/>
    <w:rsid w:val="00174487"/>
    <w:rsid w:val="00174E01"/>
    <w:rsid w:val="001756BB"/>
    <w:rsid w:val="001763F9"/>
    <w:rsid w:val="00176F94"/>
    <w:rsid w:val="001801BF"/>
    <w:rsid w:val="00180A13"/>
    <w:rsid w:val="00181037"/>
    <w:rsid w:val="00182605"/>
    <w:rsid w:val="001832C2"/>
    <w:rsid w:val="001835CC"/>
    <w:rsid w:val="00183611"/>
    <w:rsid w:val="0018445A"/>
    <w:rsid w:val="00184589"/>
    <w:rsid w:val="00184B3F"/>
    <w:rsid w:val="001863C5"/>
    <w:rsid w:val="0018767C"/>
    <w:rsid w:val="00187C8D"/>
    <w:rsid w:val="00190338"/>
    <w:rsid w:val="001905AF"/>
    <w:rsid w:val="00192058"/>
    <w:rsid w:val="0019214B"/>
    <w:rsid w:val="0019270B"/>
    <w:rsid w:val="00192EBF"/>
    <w:rsid w:val="0019316C"/>
    <w:rsid w:val="001939C3"/>
    <w:rsid w:val="00193BD5"/>
    <w:rsid w:val="00194CC9"/>
    <w:rsid w:val="00194E15"/>
    <w:rsid w:val="00194F2D"/>
    <w:rsid w:val="001957CD"/>
    <w:rsid w:val="00195B3C"/>
    <w:rsid w:val="00195F51"/>
    <w:rsid w:val="00196E1B"/>
    <w:rsid w:val="0019710C"/>
    <w:rsid w:val="00197755"/>
    <w:rsid w:val="00197A9B"/>
    <w:rsid w:val="00197A9D"/>
    <w:rsid w:val="001A021A"/>
    <w:rsid w:val="001A111F"/>
    <w:rsid w:val="001A280A"/>
    <w:rsid w:val="001A2B36"/>
    <w:rsid w:val="001A3128"/>
    <w:rsid w:val="001A3611"/>
    <w:rsid w:val="001A4502"/>
    <w:rsid w:val="001A4F46"/>
    <w:rsid w:val="001A5CCF"/>
    <w:rsid w:val="001A5ECC"/>
    <w:rsid w:val="001A6B9C"/>
    <w:rsid w:val="001A76BF"/>
    <w:rsid w:val="001B0834"/>
    <w:rsid w:val="001B0E0F"/>
    <w:rsid w:val="001B1064"/>
    <w:rsid w:val="001B1468"/>
    <w:rsid w:val="001B2E87"/>
    <w:rsid w:val="001B30C2"/>
    <w:rsid w:val="001B3FB6"/>
    <w:rsid w:val="001B4D04"/>
    <w:rsid w:val="001B4FB7"/>
    <w:rsid w:val="001B566C"/>
    <w:rsid w:val="001B5B34"/>
    <w:rsid w:val="001B6F3B"/>
    <w:rsid w:val="001B7B3B"/>
    <w:rsid w:val="001C04EF"/>
    <w:rsid w:val="001C0746"/>
    <w:rsid w:val="001C091D"/>
    <w:rsid w:val="001C0B2F"/>
    <w:rsid w:val="001C10E8"/>
    <w:rsid w:val="001C1ACF"/>
    <w:rsid w:val="001C1CD2"/>
    <w:rsid w:val="001C1F60"/>
    <w:rsid w:val="001C2616"/>
    <w:rsid w:val="001C37BC"/>
    <w:rsid w:val="001C41EE"/>
    <w:rsid w:val="001C47D7"/>
    <w:rsid w:val="001C4DE2"/>
    <w:rsid w:val="001C64A9"/>
    <w:rsid w:val="001C6554"/>
    <w:rsid w:val="001C66D0"/>
    <w:rsid w:val="001C6BBE"/>
    <w:rsid w:val="001C748E"/>
    <w:rsid w:val="001C7C24"/>
    <w:rsid w:val="001C7EF2"/>
    <w:rsid w:val="001D1E49"/>
    <w:rsid w:val="001D1E8D"/>
    <w:rsid w:val="001D1FBB"/>
    <w:rsid w:val="001D29E2"/>
    <w:rsid w:val="001D3B11"/>
    <w:rsid w:val="001D41F2"/>
    <w:rsid w:val="001D4D6E"/>
    <w:rsid w:val="001D6612"/>
    <w:rsid w:val="001D73FC"/>
    <w:rsid w:val="001D7999"/>
    <w:rsid w:val="001E070F"/>
    <w:rsid w:val="001E0D33"/>
    <w:rsid w:val="001E1D6D"/>
    <w:rsid w:val="001E27A3"/>
    <w:rsid w:val="001E2D4D"/>
    <w:rsid w:val="001E31F6"/>
    <w:rsid w:val="001E39F7"/>
    <w:rsid w:val="001E4114"/>
    <w:rsid w:val="001E487A"/>
    <w:rsid w:val="001E4BF2"/>
    <w:rsid w:val="001E4C34"/>
    <w:rsid w:val="001E58AF"/>
    <w:rsid w:val="001E5924"/>
    <w:rsid w:val="001E6297"/>
    <w:rsid w:val="001E6A78"/>
    <w:rsid w:val="001E7855"/>
    <w:rsid w:val="001F0435"/>
    <w:rsid w:val="001F0DCB"/>
    <w:rsid w:val="001F2EE6"/>
    <w:rsid w:val="001F2F12"/>
    <w:rsid w:val="001F38C3"/>
    <w:rsid w:val="001F397D"/>
    <w:rsid w:val="001F46FB"/>
    <w:rsid w:val="001F487F"/>
    <w:rsid w:val="001F4E3F"/>
    <w:rsid w:val="001F52BB"/>
    <w:rsid w:val="001F53A5"/>
    <w:rsid w:val="001F5CA1"/>
    <w:rsid w:val="001F6957"/>
    <w:rsid w:val="001F72E9"/>
    <w:rsid w:val="001F7FBF"/>
    <w:rsid w:val="00200084"/>
    <w:rsid w:val="00200B06"/>
    <w:rsid w:val="0020281C"/>
    <w:rsid w:val="00202EE4"/>
    <w:rsid w:val="00202F8F"/>
    <w:rsid w:val="002038B7"/>
    <w:rsid w:val="002039A1"/>
    <w:rsid w:val="0020430D"/>
    <w:rsid w:val="002047D4"/>
    <w:rsid w:val="0020616D"/>
    <w:rsid w:val="00206D0A"/>
    <w:rsid w:val="0020740B"/>
    <w:rsid w:val="00210555"/>
    <w:rsid w:val="002107F6"/>
    <w:rsid w:val="002110C0"/>
    <w:rsid w:val="0021115E"/>
    <w:rsid w:val="00213E4B"/>
    <w:rsid w:val="00213EF1"/>
    <w:rsid w:val="00214027"/>
    <w:rsid w:val="0021413A"/>
    <w:rsid w:val="00214497"/>
    <w:rsid w:val="00214B1B"/>
    <w:rsid w:val="0021500D"/>
    <w:rsid w:val="00215AFE"/>
    <w:rsid w:val="00215DCD"/>
    <w:rsid w:val="00216066"/>
    <w:rsid w:val="00216549"/>
    <w:rsid w:val="00216B6E"/>
    <w:rsid w:val="00216DD1"/>
    <w:rsid w:val="002170C8"/>
    <w:rsid w:val="002177E3"/>
    <w:rsid w:val="002178B9"/>
    <w:rsid w:val="00217DA4"/>
    <w:rsid w:val="00220813"/>
    <w:rsid w:val="00221312"/>
    <w:rsid w:val="00221A16"/>
    <w:rsid w:val="00222038"/>
    <w:rsid w:val="002232F7"/>
    <w:rsid w:val="00223AC1"/>
    <w:rsid w:val="00223B8F"/>
    <w:rsid w:val="00223D74"/>
    <w:rsid w:val="00224394"/>
    <w:rsid w:val="00224F33"/>
    <w:rsid w:val="00230527"/>
    <w:rsid w:val="002306C3"/>
    <w:rsid w:val="00231865"/>
    <w:rsid w:val="00231D14"/>
    <w:rsid w:val="00231E5B"/>
    <w:rsid w:val="002320CD"/>
    <w:rsid w:val="002324EE"/>
    <w:rsid w:val="00233EA1"/>
    <w:rsid w:val="00234238"/>
    <w:rsid w:val="00236531"/>
    <w:rsid w:val="002370F4"/>
    <w:rsid w:val="0023715C"/>
    <w:rsid w:val="00237C8B"/>
    <w:rsid w:val="0024009D"/>
    <w:rsid w:val="00241109"/>
    <w:rsid w:val="00243B56"/>
    <w:rsid w:val="0024478E"/>
    <w:rsid w:val="00244EE9"/>
    <w:rsid w:val="00245063"/>
    <w:rsid w:val="0024507F"/>
    <w:rsid w:val="00245A6B"/>
    <w:rsid w:val="00245CD5"/>
    <w:rsid w:val="00246135"/>
    <w:rsid w:val="00246858"/>
    <w:rsid w:val="00247057"/>
    <w:rsid w:val="00247570"/>
    <w:rsid w:val="00247D94"/>
    <w:rsid w:val="00247FD6"/>
    <w:rsid w:val="002503BC"/>
    <w:rsid w:val="00250C7F"/>
    <w:rsid w:val="00251528"/>
    <w:rsid w:val="00251B7B"/>
    <w:rsid w:val="00251F45"/>
    <w:rsid w:val="002523F4"/>
    <w:rsid w:val="00253E60"/>
    <w:rsid w:val="0025400E"/>
    <w:rsid w:val="0025408C"/>
    <w:rsid w:val="00254A94"/>
    <w:rsid w:val="002572BC"/>
    <w:rsid w:val="00260D73"/>
    <w:rsid w:val="0026164C"/>
    <w:rsid w:val="00261A0A"/>
    <w:rsid w:val="00262438"/>
    <w:rsid w:val="0026340A"/>
    <w:rsid w:val="00263593"/>
    <w:rsid w:val="00265C57"/>
    <w:rsid w:val="002664CC"/>
    <w:rsid w:val="00266527"/>
    <w:rsid w:val="00266574"/>
    <w:rsid w:val="00266624"/>
    <w:rsid w:val="00266779"/>
    <w:rsid w:val="00266859"/>
    <w:rsid w:val="00267801"/>
    <w:rsid w:val="002678EA"/>
    <w:rsid w:val="00267B2C"/>
    <w:rsid w:val="002701CC"/>
    <w:rsid w:val="002703D3"/>
    <w:rsid w:val="002716D6"/>
    <w:rsid w:val="00271712"/>
    <w:rsid w:val="00271A21"/>
    <w:rsid w:val="00272092"/>
    <w:rsid w:val="002729D6"/>
    <w:rsid w:val="00272D90"/>
    <w:rsid w:val="002745CC"/>
    <w:rsid w:val="00274BE4"/>
    <w:rsid w:val="00274CB8"/>
    <w:rsid w:val="00274D2F"/>
    <w:rsid w:val="00275730"/>
    <w:rsid w:val="00276064"/>
    <w:rsid w:val="00276660"/>
    <w:rsid w:val="00276DE9"/>
    <w:rsid w:val="00276F7F"/>
    <w:rsid w:val="00277409"/>
    <w:rsid w:val="00277783"/>
    <w:rsid w:val="002806DD"/>
    <w:rsid w:val="002811FF"/>
    <w:rsid w:val="00281597"/>
    <w:rsid w:val="00281AF7"/>
    <w:rsid w:val="002822B6"/>
    <w:rsid w:val="002835E9"/>
    <w:rsid w:val="0028481E"/>
    <w:rsid w:val="0028489B"/>
    <w:rsid w:val="002852CD"/>
    <w:rsid w:val="00285FBC"/>
    <w:rsid w:val="00286786"/>
    <w:rsid w:val="00286B90"/>
    <w:rsid w:val="00286FC5"/>
    <w:rsid w:val="00287485"/>
    <w:rsid w:val="00290535"/>
    <w:rsid w:val="002906CC"/>
    <w:rsid w:val="00290D07"/>
    <w:rsid w:val="002913BA"/>
    <w:rsid w:val="002916D8"/>
    <w:rsid w:val="00292471"/>
    <w:rsid w:val="00292BD3"/>
    <w:rsid w:val="00293D63"/>
    <w:rsid w:val="00293EE6"/>
    <w:rsid w:val="002958C7"/>
    <w:rsid w:val="0029662D"/>
    <w:rsid w:val="00296D6E"/>
    <w:rsid w:val="0029713B"/>
    <w:rsid w:val="00297479"/>
    <w:rsid w:val="00297766"/>
    <w:rsid w:val="002979E6"/>
    <w:rsid w:val="002A066E"/>
    <w:rsid w:val="002A0A2D"/>
    <w:rsid w:val="002A11A7"/>
    <w:rsid w:val="002A1A59"/>
    <w:rsid w:val="002A29D2"/>
    <w:rsid w:val="002A31A6"/>
    <w:rsid w:val="002A36B6"/>
    <w:rsid w:val="002A3905"/>
    <w:rsid w:val="002A40CA"/>
    <w:rsid w:val="002A47A5"/>
    <w:rsid w:val="002A4C0E"/>
    <w:rsid w:val="002B0002"/>
    <w:rsid w:val="002B0137"/>
    <w:rsid w:val="002B0736"/>
    <w:rsid w:val="002B08DA"/>
    <w:rsid w:val="002B131C"/>
    <w:rsid w:val="002B2F1A"/>
    <w:rsid w:val="002B3260"/>
    <w:rsid w:val="002B443F"/>
    <w:rsid w:val="002B45D5"/>
    <w:rsid w:val="002B4B93"/>
    <w:rsid w:val="002B4C11"/>
    <w:rsid w:val="002B4E37"/>
    <w:rsid w:val="002B58A5"/>
    <w:rsid w:val="002B5F90"/>
    <w:rsid w:val="002B613F"/>
    <w:rsid w:val="002B689D"/>
    <w:rsid w:val="002B7726"/>
    <w:rsid w:val="002C2731"/>
    <w:rsid w:val="002C299C"/>
    <w:rsid w:val="002C3155"/>
    <w:rsid w:val="002C5017"/>
    <w:rsid w:val="002C5585"/>
    <w:rsid w:val="002C635A"/>
    <w:rsid w:val="002C7220"/>
    <w:rsid w:val="002D13CA"/>
    <w:rsid w:val="002D179C"/>
    <w:rsid w:val="002D1A84"/>
    <w:rsid w:val="002D1D72"/>
    <w:rsid w:val="002D1FCF"/>
    <w:rsid w:val="002D2211"/>
    <w:rsid w:val="002D27FF"/>
    <w:rsid w:val="002D3A4E"/>
    <w:rsid w:val="002D3B8E"/>
    <w:rsid w:val="002D4AED"/>
    <w:rsid w:val="002D4BA6"/>
    <w:rsid w:val="002D4D72"/>
    <w:rsid w:val="002D4F05"/>
    <w:rsid w:val="002D4F88"/>
    <w:rsid w:val="002D5ABF"/>
    <w:rsid w:val="002D6FA9"/>
    <w:rsid w:val="002D7EDC"/>
    <w:rsid w:val="002E08AB"/>
    <w:rsid w:val="002E153B"/>
    <w:rsid w:val="002E16C1"/>
    <w:rsid w:val="002E2550"/>
    <w:rsid w:val="002E4A74"/>
    <w:rsid w:val="002E58F2"/>
    <w:rsid w:val="002E68EB"/>
    <w:rsid w:val="002E6BEE"/>
    <w:rsid w:val="002E767F"/>
    <w:rsid w:val="002E7A95"/>
    <w:rsid w:val="002F12D1"/>
    <w:rsid w:val="002F17C6"/>
    <w:rsid w:val="002F2286"/>
    <w:rsid w:val="002F2522"/>
    <w:rsid w:val="002F30CE"/>
    <w:rsid w:val="002F34D4"/>
    <w:rsid w:val="002F354F"/>
    <w:rsid w:val="002F369F"/>
    <w:rsid w:val="002F463B"/>
    <w:rsid w:val="002F474A"/>
    <w:rsid w:val="002F6402"/>
    <w:rsid w:val="002F6A17"/>
    <w:rsid w:val="002F6B3D"/>
    <w:rsid w:val="002F75D8"/>
    <w:rsid w:val="002F7F74"/>
    <w:rsid w:val="00300ECF"/>
    <w:rsid w:val="003011F5"/>
    <w:rsid w:val="003016B4"/>
    <w:rsid w:val="00302587"/>
    <w:rsid w:val="00302A6F"/>
    <w:rsid w:val="00303908"/>
    <w:rsid w:val="00303AA3"/>
    <w:rsid w:val="003041E7"/>
    <w:rsid w:val="00304787"/>
    <w:rsid w:val="003048B3"/>
    <w:rsid w:val="00306B3F"/>
    <w:rsid w:val="00307389"/>
    <w:rsid w:val="003076F3"/>
    <w:rsid w:val="00310016"/>
    <w:rsid w:val="003103B2"/>
    <w:rsid w:val="003106D8"/>
    <w:rsid w:val="00311338"/>
    <w:rsid w:val="003126CE"/>
    <w:rsid w:val="00312865"/>
    <w:rsid w:val="003136B5"/>
    <w:rsid w:val="003137DA"/>
    <w:rsid w:val="003138A5"/>
    <w:rsid w:val="00313FA9"/>
    <w:rsid w:val="00315733"/>
    <w:rsid w:val="003158EE"/>
    <w:rsid w:val="00315A66"/>
    <w:rsid w:val="00315A89"/>
    <w:rsid w:val="00316D26"/>
    <w:rsid w:val="003175A2"/>
    <w:rsid w:val="00320296"/>
    <w:rsid w:val="003211A6"/>
    <w:rsid w:val="00321AE9"/>
    <w:rsid w:val="0032226C"/>
    <w:rsid w:val="0032314D"/>
    <w:rsid w:val="003238BA"/>
    <w:rsid w:val="003239A6"/>
    <w:rsid w:val="00323FD6"/>
    <w:rsid w:val="00324185"/>
    <w:rsid w:val="00324C34"/>
    <w:rsid w:val="00325E8B"/>
    <w:rsid w:val="003266D3"/>
    <w:rsid w:val="00330247"/>
    <w:rsid w:val="0033070B"/>
    <w:rsid w:val="00331797"/>
    <w:rsid w:val="003321E7"/>
    <w:rsid w:val="003325E3"/>
    <w:rsid w:val="0033289C"/>
    <w:rsid w:val="00333231"/>
    <w:rsid w:val="00333347"/>
    <w:rsid w:val="00333596"/>
    <w:rsid w:val="00334171"/>
    <w:rsid w:val="003345E7"/>
    <w:rsid w:val="00334C6F"/>
    <w:rsid w:val="003350E3"/>
    <w:rsid w:val="00335967"/>
    <w:rsid w:val="00336DAE"/>
    <w:rsid w:val="003375AD"/>
    <w:rsid w:val="00337BCD"/>
    <w:rsid w:val="00337C0E"/>
    <w:rsid w:val="00337DED"/>
    <w:rsid w:val="00340889"/>
    <w:rsid w:val="003408C8"/>
    <w:rsid w:val="00341678"/>
    <w:rsid w:val="00342970"/>
    <w:rsid w:val="00342C3C"/>
    <w:rsid w:val="00342F42"/>
    <w:rsid w:val="00343C5D"/>
    <w:rsid w:val="00343F4A"/>
    <w:rsid w:val="00343FDA"/>
    <w:rsid w:val="0034526A"/>
    <w:rsid w:val="0034592C"/>
    <w:rsid w:val="003465F1"/>
    <w:rsid w:val="0034693B"/>
    <w:rsid w:val="00347181"/>
    <w:rsid w:val="00347CBF"/>
    <w:rsid w:val="00350417"/>
    <w:rsid w:val="00350F8E"/>
    <w:rsid w:val="003514F3"/>
    <w:rsid w:val="0035162B"/>
    <w:rsid w:val="0035194C"/>
    <w:rsid w:val="00351BE1"/>
    <w:rsid w:val="00351D92"/>
    <w:rsid w:val="00352B8C"/>
    <w:rsid w:val="00353661"/>
    <w:rsid w:val="00353B25"/>
    <w:rsid w:val="00355722"/>
    <w:rsid w:val="003557A7"/>
    <w:rsid w:val="00355985"/>
    <w:rsid w:val="00355CC6"/>
    <w:rsid w:val="00356167"/>
    <w:rsid w:val="0035625F"/>
    <w:rsid w:val="0036110B"/>
    <w:rsid w:val="00361173"/>
    <w:rsid w:val="003614CA"/>
    <w:rsid w:val="00361680"/>
    <w:rsid w:val="003621B9"/>
    <w:rsid w:val="00362ED1"/>
    <w:rsid w:val="003643B6"/>
    <w:rsid w:val="003644BF"/>
    <w:rsid w:val="00365304"/>
    <w:rsid w:val="00365438"/>
    <w:rsid w:val="00367155"/>
    <w:rsid w:val="00367485"/>
    <w:rsid w:val="00367CDF"/>
    <w:rsid w:val="00370144"/>
    <w:rsid w:val="00370D0E"/>
    <w:rsid w:val="00370E63"/>
    <w:rsid w:val="00371299"/>
    <w:rsid w:val="0037150B"/>
    <w:rsid w:val="00371850"/>
    <w:rsid w:val="00371932"/>
    <w:rsid w:val="00371D13"/>
    <w:rsid w:val="00372147"/>
    <w:rsid w:val="0037333D"/>
    <w:rsid w:val="00374BAB"/>
    <w:rsid w:val="00376A6C"/>
    <w:rsid w:val="00376DBD"/>
    <w:rsid w:val="0037751F"/>
    <w:rsid w:val="003779F8"/>
    <w:rsid w:val="00377B88"/>
    <w:rsid w:val="00377C6C"/>
    <w:rsid w:val="00377E4C"/>
    <w:rsid w:val="00381E0D"/>
    <w:rsid w:val="00382893"/>
    <w:rsid w:val="0038585D"/>
    <w:rsid w:val="00387C30"/>
    <w:rsid w:val="00387FAC"/>
    <w:rsid w:val="003902CD"/>
    <w:rsid w:val="00390B87"/>
    <w:rsid w:val="0039113B"/>
    <w:rsid w:val="0039157E"/>
    <w:rsid w:val="00391692"/>
    <w:rsid w:val="0039256E"/>
    <w:rsid w:val="00392A47"/>
    <w:rsid w:val="00392AB0"/>
    <w:rsid w:val="00392BFB"/>
    <w:rsid w:val="00393372"/>
    <w:rsid w:val="003946CD"/>
    <w:rsid w:val="00395624"/>
    <w:rsid w:val="00395FAE"/>
    <w:rsid w:val="00396272"/>
    <w:rsid w:val="00396F6D"/>
    <w:rsid w:val="00397C32"/>
    <w:rsid w:val="003A087E"/>
    <w:rsid w:val="003A1081"/>
    <w:rsid w:val="003A1AA5"/>
    <w:rsid w:val="003A2D95"/>
    <w:rsid w:val="003A3152"/>
    <w:rsid w:val="003A33CD"/>
    <w:rsid w:val="003A3DCA"/>
    <w:rsid w:val="003A4D50"/>
    <w:rsid w:val="003A50C6"/>
    <w:rsid w:val="003A5DFD"/>
    <w:rsid w:val="003A5F3B"/>
    <w:rsid w:val="003A69E2"/>
    <w:rsid w:val="003A6F30"/>
    <w:rsid w:val="003A73E2"/>
    <w:rsid w:val="003B1139"/>
    <w:rsid w:val="003B1936"/>
    <w:rsid w:val="003B1D9B"/>
    <w:rsid w:val="003B249E"/>
    <w:rsid w:val="003B254B"/>
    <w:rsid w:val="003B25D3"/>
    <w:rsid w:val="003B2AB7"/>
    <w:rsid w:val="003B48C8"/>
    <w:rsid w:val="003B4FA0"/>
    <w:rsid w:val="003B521C"/>
    <w:rsid w:val="003B5494"/>
    <w:rsid w:val="003B5707"/>
    <w:rsid w:val="003B5F53"/>
    <w:rsid w:val="003B6443"/>
    <w:rsid w:val="003B69DB"/>
    <w:rsid w:val="003B6C4E"/>
    <w:rsid w:val="003B6D44"/>
    <w:rsid w:val="003B727A"/>
    <w:rsid w:val="003B7318"/>
    <w:rsid w:val="003B7B7C"/>
    <w:rsid w:val="003B7DFC"/>
    <w:rsid w:val="003C1647"/>
    <w:rsid w:val="003C4619"/>
    <w:rsid w:val="003C4A96"/>
    <w:rsid w:val="003C5673"/>
    <w:rsid w:val="003C5973"/>
    <w:rsid w:val="003C5C14"/>
    <w:rsid w:val="003C64C5"/>
    <w:rsid w:val="003C7139"/>
    <w:rsid w:val="003D0255"/>
    <w:rsid w:val="003D0499"/>
    <w:rsid w:val="003D504E"/>
    <w:rsid w:val="003D51F2"/>
    <w:rsid w:val="003D5981"/>
    <w:rsid w:val="003D5B14"/>
    <w:rsid w:val="003D6071"/>
    <w:rsid w:val="003D6079"/>
    <w:rsid w:val="003D6D71"/>
    <w:rsid w:val="003D7245"/>
    <w:rsid w:val="003D7C40"/>
    <w:rsid w:val="003E0523"/>
    <w:rsid w:val="003E1008"/>
    <w:rsid w:val="003E1501"/>
    <w:rsid w:val="003E3F49"/>
    <w:rsid w:val="003E4236"/>
    <w:rsid w:val="003E4A86"/>
    <w:rsid w:val="003E4F06"/>
    <w:rsid w:val="003E52F5"/>
    <w:rsid w:val="003E5499"/>
    <w:rsid w:val="003E549E"/>
    <w:rsid w:val="003E59FF"/>
    <w:rsid w:val="003E5B37"/>
    <w:rsid w:val="003E6FE2"/>
    <w:rsid w:val="003E704F"/>
    <w:rsid w:val="003E78F5"/>
    <w:rsid w:val="003E7A6D"/>
    <w:rsid w:val="003E7B5B"/>
    <w:rsid w:val="003F04B0"/>
    <w:rsid w:val="003F0EF7"/>
    <w:rsid w:val="003F1325"/>
    <w:rsid w:val="003F1673"/>
    <w:rsid w:val="003F3263"/>
    <w:rsid w:val="003F5394"/>
    <w:rsid w:val="003F54D6"/>
    <w:rsid w:val="003F5593"/>
    <w:rsid w:val="003F6AB1"/>
    <w:rsid w:val="003F6BD5"/>
    <w:rsid w:val="003F6D4F"/>
    <w:rsid w:val="003F70E3"/>
    <w:rsid w:val="003F72AD"/>
    <w:rsid w:val="004007B1"/>
    <w:rsid w:val="004008B0"/>
    <w:rsid w:val="00400F61"/>
    <w:rsid w:val="0040112C"/>
    <w:rsid w:val="004012FA"/>
    <w:rsid w:val="004023CF"/>
    <w:rsid w:val="0040385A"/>
    <w:rsid w:val="00404A9F"/>
    <w:rsid w:val="00404C2C"/>
    <w:rsid w:val="0040698F"/>
    <w:rsid w:val="00406F35"/>
    <w:rsid w:val="00407516"/>
    <w:rsid w:val="00407F95"/>
    <w:rsid w:val="00411C08"/>
    <w:rsid w:val="00412839"/>
    <w:rsid w:val="00412D64"/>
    <w:rsid w:val="0041320B"/>
    <w:rsid w:val="004136DA"/>
    <w:rsid w:val="004137D5"/>
    <w:rsid w:val="00413EB0"/>
    <w:rsid w:val="00413FD4"/>
    <w:rsid w:val="004141D6"/>
    <w:rsid w:val="0041484B"/>
    <w:rsid w:val="00417962"/>
    <w:rsid w:val="00417A07"/>
    <w:rsid w:val="00420739"/>
    <w:rsid w:val="00420810"/>
    <w:rsid w:val="00420E58"/>
    <w:rsid w:val="00421602"/>
    <w:rsid w:val="00421A11"/>
    <w:rsid w:val="00421E98"/>
    <w:rsid w:val="00423728"/>
    <w:rsid w:val="0042380E"/>
    <w:rsid w:val="00423A73"/>
    <w:rsid w:val="004244D7"/>
    <w:rsid w:val="00424573"/>
    <w:rsid w:val="00424974"/>
    <w:rsid w:val="00426BC8"/>
    <w:rsid w:val="00426BC9"/>
    <w:rsid w:val="00426DC4"/>
    <w:rsid w:val="00426F11"/>
    <w:rsid w:val="00427A12"/>
    <w:rsid w:val="00427B9F"/>
    <w:rsid w:val="00433688"/>
    <w:rsid w:val="0043373E"/>
    <w:rsid w:val="00434775"/>
    <w:rsid w:val="00434B3F"/>
    <w:rsid w:val="00434FC9"/>
    <w:rsid w:val="00435750"/>
    <w:rsid w:val="00436D74"/>
    <w:rsid w:val="00436DA6"/>
    <w:rsid w:val="00437D31"/>
    <w:rsid w:val="004414D4"/>
    <w:rsid w:val="004415D8"/>
    <w:rsid w:val="0044254D"/>
    <w:rsid w:val="0044291E"/>
    <w:rsid w:val="0044298B"/>
    <w:rsid w:val="004434AB"/>
    <w:rsid w:val="00443605"/>
    <w:rsid w:val="00443736"/>
    <w:rsid w:val="00443B3B"/>
    <w:rsid w:val="00443BB7"/>
    <w:rsid w:val="00444EC3"/>
    <w:rsid w:val="004451F0"/>
    <w:rsid w:val="00445512"/>
    <w:rsid w:val="00445864"/>
    <w:rsid w:val="00445D3C"/>
    <w:rsid w:val="00445D67"/>
    <w:rsid w:val="0044721D"/>
    <w:rsid w:val="00451B35"/>
    <w:rsid w:val="00452151"/>
    <w:rsid w:val="00452174"/>
    <w:rsid w:val="00452291"/>
    <w:rsid w:val="00452617"/>
    <w:rsid w:val="00452BD9"/>
    <w:rsid w:val="004536BE"/>
    <w:rsid w:val="00453CA4"/>
    <w:rsid w:val="00455DE7"/>
    <w:rsid w:val="00457435"/>
    <w:rsid w:val="004578EE"/>
    <w:rsid w:val="00457BE6"/>
    <w:rsid w:val="0046072E"/>
    <w:rsid w:val="00461712"/>
    <w:rsid w:val="004633B4"/>
    <w:rsid w:val="00463987"/>
    <w:rsid w:val="004655EF"/>
    <w:rsid w:val="00466BAA"/>
    <w:rsid w:val="004705C3"/>
    <w:rsid w:val="00470F5C"/>
    <w:rsid w:val="00471AC3"/>
    <w:rsid w:val="00471EE7"/>
    <w:rsid w:val="004725C7"/>
    <w:rsid w:val="0047321D"/>
    <w:rsid w:val="00473D9F"/>
    <w:rsid w:val="00475BCA"/>
    <w:rsid w:val="004764EF"/>
    <w:rsid w:val="004771D8"/>
    <w:rsid w:val="004806F3"/>
    <w:rsid w:val="00480DC4"/>
    <w:rsid w:val="00481686"/>
    <w:rsid w:val="0048257E"/>
    <w:rsid w:val="00483739"/>
    <w:rsid w:val="004848FE"/>
    <w:rsid w:val="004849F3"/>
    <w:rsid w:val="004852C9"/>
    <w:rsid w:val="0048708D"/>
    <w:rsid w:val="00487F0A"/>
    <w:rsid w:val="00487F33"/>
    <w:rsid w:val="00490B73"/>
    <w:rsid w:val="00491D3C"/>
    <w:rsid w:val="00492303"/>
    <w:rsid w:val="0049270B"/>
    <w:rsid w:val="00493B8F"/>
    <w:rsid w:val="00493F04"/>
    <w:rsid w:val="0049447A"/>
    <w:rsid w:val="004953BC"/>
    <w:rsid w:val="00495CB8"/>
    <w:rsid w:val="00495D50"/>
    <w:rsid w:val="004961B2"/>
    <w:rsid w:val="004966C7"/>
    <w:rsid w:val="004967FC"/>
    <w:rsid w:val="00496B8B"/>
    <w:rsid w:val="00497C7C"/>
    <w:rsid w:val="004A0CAA"/>
    <w:rsid w:val="004A0F8D"/>
    <w:rsid w:val="004A14C9"/>
    <w:rsid w:val="004A35FD"/>
    <w:rsid w:val="004A3B28"/>
    <w:rsid w:val="004A3EBE"/>
    <w:rsid w:val="004A5235"/>
    <w:rsid w:val="004A543C"/>
    <w:rsid w:val="004A5741"/>
    <w:rsid w:val="004A596C"/>
    <w:rsid w:val="004A63AD"/>
    <w:rsid w:val="004A6794"/>
    <w:rsid w:val="004B088B"/>
    <w:rsid w:val="004B15E9"/>
    <w:rsid w:val="004B17D9"/>
    <w:rsid w:val="004B1EC5"/>
    <w:rsid w:val="004B2BA5"/>
    <w:rsid w:val="004B2CD9"/>
    <w:rsid w:val="004B3280"/>
    <w:rsid w:val="004B3B7F"/>
    <w:rsid w:val="004B40B7"/>
    <w:rsid w:val="004B4329"/>
    <w:rsid w:val="004B4D52"/>
    <w:rsid w:val="004B52DE"/>
    <w:rsid w:val="004B6380"/>
    <w:rsid w:val="004B6455"/>
    <w:rsid w:val="004B7496"/>
    <w:rsid w:val="004C07AA"/>
    <w:rsid w:val="004C08B5"/>
    <w:rsid w:val="004C1CDB"/>
    <w:rsid w:val="004C31DC"/>
    <w:rsid w:val="004C3868"/>
    <w:rsid w:val="004C423B"/>
    <w:rsid w:val="004C4286"/>
    <w:rsid w:val="004C446E"/>
    <w:rsid w:val="004C44F0"/>
    <w:rsid w:val="004C4520"/>
    <w:rsid w:val="004C53DD"/>
    <w:rsid w:val="004C5C07"/>
    <w:rsid w:val="004C6149"/>
    <w:rsid w:val="004C6A56"/>
    <w:rsid w:val="004C6C54"/>
    <w:rsid w:val="004C7152"/>
    <w:rsid w:val="004C7283"/>
    <w:rsid w:val="004D08C9"/>
    <w:rsid w:val="004D0E36"/>
    <w:rsid w:val="004D0F9A"/>
    <w:rsid w:val="004D0FA2"/>
    <w:rsid w:val="004D22B5"/>
    <w:rsid w:val="004D2805"/>
    <w:rsid w:val="004D2AFB"/>
    <w:rsid w:val="004D2D7A"/>
    <w:rsid w:val="004D389A"/>
    <w:rsid w:val="004D38E6"/>
    <w:rsid w:val="004D3965"/>
    <w:rsid w:val="004D3D3D"/>
    <w:rsid w:val="004D4386"/>
    <w:rsid w:val="004D4F01"/>
    <w:rsid w:val="004D55F4"/>
    <w:rsid w:val="004D61BA"/>
    <w:rsid w:val="004D6417"/>
    <w:rsid w:val="004D6650"/>
    <w:rsid w:val="004D66CD"/>
    <w:rsid w:val="004D7711"/>
    <w:rsid w:val="004D7A67"/>
    <w:rsid w:val="004E15ED"/>
    <w:rsid w:val="004E3B5B"/>
    <w:rsid w:val="004E401A"/>
    <w:rsid w:val="004E5D16"/>
    <w:rsid w:val="004F0ABF"/>
    <w:rsid w:val="004F4351"/>
    <w:rsid w:val="004F49E6"/>
    <w:rsid w:val="004F4D8C"/>
    <w:rsid w:val="004F5193"/>
    <w:rsid w:val="004F5744"/>
    <w:rsid w:val="004F5DAF"/>
    <w:rsid w:val="004F5FA8"/>
    <w:rsid w:val="004F6047"/>
    <w:rsid w:val="004F710C"/>
    <w:rsid w:val="004F7C0E"/>
    <w:rsid w:val="004F7D5A"/>
    <w:rsid w:val="004F7FAA"/>
    <w:rsid w:val="005002AC"/>
    <w:rsid w:val="00500448"/>
    <w:rsid w:val="0050117D"/>
    <w:rsid w:val="00502EA5"/>
    <w:rsid w:val="0050357C"/>
    <w:rsid w:val="0050374B"/>
    <w:rsid w:val="005038BC"/>
    <w:rsid w:val="00503B91"/>
    <w:rsid w:val="00504907"/>
    <w:rsid w:val="005054E3"/>
    <w:rsid w:val="00505AEC"/>
    <w:rsid w:val="00506052"/>
    <w:rsid w:val="005068DB"/>
    <w:rsid w:val="00507306"/>
    <w:rsid w:val="00507801"/>
    <w:rsid w:val="00507CD8"/>
    <w:rsid w:val="00510871"/>
    <w:rsid w:val="00510CBE"/>
    <w:rsid w:val="00511638"/>
    <w:rsid w:val="0051239C"/>
    <w:rsid w:val="005124CD"/>
    <w:rsid w:val="00512881"/>
    <w:rsid w:val="00514915"/>
    <w:rsid w:val="00515062"/>
    <w:rsid w:val="0051606A"/>
    <w:rsid w:val="005163A6"/>
    <w:rsid w:val="00516979"/>
    <w:rsid w:val="00516C03"/>
    <w:rsid w:val="0052055E"/>
    <w:rsid w:val="005220B9"/>
    <w:rsid w:val="0052254F"/>
    <w:rsid w:val="00522A90"/>
    <w:rsid w:val="005233D9"/>
    <w:rsid w:val="0052395D"/>
    <w:rsid w:val="0052417C"/>
    <w:rsid w:val="0052439F"/>
    <w:rsid w:val="00526BDE"/>
    <w:rsid w:val="005314B2"/>
    <w:rsid w:val="00531FC4"/>
    <w:rsid w:val="00532A75"/>
    <w:rsid w:val="00533064"/>
    <w:rsid w:val="005330C8"/>
    <w:rsid w:val="00534CAF"/>
    <w:rsid w:val="00534E8D"/>
    <w:rsid w:val="005354D1"/>
    <w:rsid w:val="00535975"/>
    <w:rsid w:val="00536441"/>
    <w:rsid w:val="00536779"/>
    <w:rsid w:val="005369AB"/>
    <w:rsid w:val="0053747F"/>
    <w:rsid w:val="00537DF3"/>
    <w:rsid w:val="00540FB4"/>
    <w:rsid w:val="00541635"/>
    <w:rsid w:val="00541638"/>
    <w:rsid w:val="00542763"/>
    <w:rsid w:val="00543308"/>
    <w:rsid w:val="00543429"/>
    <w:rsid w:val="00543BF8"/>
    <w:rsid w:val="0054431B"/>
    <w:rsid w:val="005447AB"/>
    <w:rsid w:val="005447D3"/>
    <w:rsid w:val="00545736"/>
    <w:rsid w:val="00545D5B"/>
    <w:rsid w:val="00545ECE"/>
    <w:rsid w:val="00546B9B"/>
    <w:rsid w:val="00546DD8"/>
    <w:rsid w:val="00546F2A"/>
    <w:rsid w:val="00547F10"/>
    <w:rsid w:val="005501C1"/>
    <w:rsid w:val="00550AC6"/>
    <w:rsid w:val="00550BF3"/>
    <w:rsid w:val="00551AD5"/>
    <w:rsid w:val="00551CC4"/>
    <w:rsid w:val="00552218"/>
    <w:rsid w:val="005526EE"/>
    <w:rsid w:val="00552775"/>
    <w:rsid w:val="00552EEB"/>
    <w:rsid w:val="0055341C"/>
    <w:rsid w:val="005539C9"/>
    <w:rsid w:val="00553EAE"/>
    <w:rsid w:val="00554377"/>
    <w:rsid w:val="0055453E"/>
    <w:rsid w:val="00555151"/>
    <w:rsid w:val="005554A1"/>
    <w:rsid w:val="00555916"/>
    <w:rsid w:val="0055620E"/>
    <w:rsid w:val="005562DB"/>
    <w:rsid w:val="00556DCF"/>
    <w:rsid w:val="0055710E"/>
    <w:rsid w:val="00557322"/>
    <w:rsid w:val="0055780A"/>
    <w:rsid w:val="00557A6C"/>
    <w:rsid w:val="0056055A"/>
    <w:rsid w:val="0056119C"/>
    <w:rsid w:val="00561D46"/>
    <w:rsid w:val="00561F98"/>
    <w:rsid w:val="00564EA5"/>
    <w:rsid w:val="00565568"/>
    <w:rsid w:val="00565C9E"/>
    <w:rsid w:val="00565DF6"/>
    <w:rsid w:val="005702C6"/>
    <w:rsid w:val="005702E9"/>
    <w:rsid w:val="005706C4"/>
    <w:rsid w:val="005707E4"/>
    <w:rsid w:val="005708FC"/>
    <w:rsid w:val="00570B3C"/>
    <w:rsid w:val="00570EAF"/>
    <w:rsid w:val="00571607"/>
    <w:rsid w:val="0057179A"/>
    <w:rsid w:val="0057223B"/>
    <w:rsid w:val="00572D3B"/>
    <w:rsid w:val="005733F0"/>
    <w:rsid w:val="00574809"/>
    <w:rsid w:val="0057480F"/>
    <w:rsid w:val="00574EC3"/>
    <w:rsid w:val="00576478"/>
    <w:rsid w:val="0057680C"/>
    <w:rsid w:val="005770DA"/>
    <w:rsid w:val="005775EB"/>
    <w:rsid w:val="00577ECA"/>
    <w:rsid w:val="005800C7"/>
    <w:rsid w:val="005800DC"/>
    <w:rsid w:val="005802A4"/>
    <w:rsid w:val="0058065A"/>
    <w:rsid w:val="00580AE1"/>
    <w:rsid w:val="00581A9F"/>
    <w:rsid w:val="00582776"/>
    <w:rsid w:val="00582BFB"/>
    <w:rsid w:val="00582DB4"/>
    <w:rsid w:val="00582FF8"/>
    <w:rsid w:val="00583220"/>
    <w:rsid w:val="00583C9E"/>
    <w:rsid w:val="00583DD8"/>
    <w:rsid w:val="00583ECF"/>
    <w:rsid w:val="00584C39"/>
    <w:rsid w:val="00584C61"/>
    <w:rsid w:val="005851B5"/>
    <w:rsid w:val="005859A1"/>
    <w:rsid w:val="0058669D"/>
    <w:rsid w:val="00586FB1"/>
    <w:rsid w:val="00586FB8"/>
    <w:rsid w:val="00587F13"/>
    <w:rsid w:val="005916CB"/>
    <w:rsid w:val="00591C5D"/>
    <w:rsid w:val="00593885"/>
    <w:rsid w:val="00593B13"/>
    <w:rsid w:val="005942F3"/>
    <w:rsid w:val="0059569F"/>
    <w:rsid w:val="00595851"/>
    <w:rsid w:val="00596728"/>
    <w:rsid w:val="00596966"/>
    <w:rsid w:val="005969C4"/>
    <w:rsid w:val="00597D1A"/>
    <w:rsid w:val="00597DEF"/>
    <w:rsid w:val="005A0023"/>
    <w:rsid w:val="005A0027"/>
    <w:rsid w:val="005A0565"/>
    <w:rsid w:val="005A0D35"/>
    <w:rsid w:val="005A0E35"/>
    <w:rsid w:val="005A256B"/>
    <w:rsid w:val="005A26FD"/>
    <w:rsid w:val="005A35A4"/>
    <w:rsid w:val="005A391A"/>
    <w:rsid w:val="005A3A14"/>
    <w:rsid w:val="005A3AFE"/>
    <w:rsid w:val="005A3E4D"/>
    <w:rsid w:val="005A4688"/>
    <w:rsid w:val="005A46EF"/>
    <w:rsid w:val="005A4966"/>
    <w:rsid w:val="005A4B72"/>
    <w:rsid w:val="005A52D7"/>
    <w:rsid w:val="005A574C"/>
    <w:rsid w:val="005A5913"/>
    <w:rsid w:val="005A7220"/>
    <w:rsid w:val="005B012F"/>
    <w:rsid w:val="005B0E47"/>
    <w:rsid w:val="005B164B"/>
    <w:rsid w:val="005B189D"/>
    <w:rsid w:val="005B20CD"/>
    <w:rsid w:val="005B2390"/>
    <w:rsid w:val="005B3A7B"/>
    <w:rsid w:val="005B3B5D"/>
    <w:rsid w:val="005B4F24"/>
    <w:rsid w:val="005B6F11"/>
    <w:rsid w:val="005C0EEF"/>
    <w:rsid w:val="005C1277"/>
    <w:rsid w:val="005C1FBD"/>
    <w:rsid w:val="005C2464"/>
    <w:rsid w:val="005C24C8"/>
    <w:rsid w:val="005C39C8"/>
    <w:rsid w:val="005C444C"/>
    <w:rsid w:val="005C57B4"/>
    <w:rsid w:val="005C60E1"/>
    <w:rsid w:val="005C6283"/>
    <w:rsid w:val="005C662A"/>
    <w:rsid w:val="005C6B25"/>
    <w:rsid w:val="005D01CE"/>
    <w:rsid w:val="005D036E"/>
    <w:rsid w:val="005D0D32"/>
    <w:rsid w:val="005D109C"/>
    <w:rsid w:val="005D29E8"/>
    <w:rsid w:val="005D2BA4"/>
    <w:rsid w:val="005D2DC8"/>
    <w:rsid w:val="005D36D1"/>
    <w:rsid w:val="005D6231"/>
    <w:rsid w:val="005D63D8"/>
    <w:rsid w:val="005D7131"/>
    <w:rsid w:val="005E00B4"/>
    <w:rsid w:val="005E02A2"/>
    <w:rsid w:val="005E11CA"/>
    <w:rsid w:val="005E2065"/>
    <w:rsid w:val="005E256D"/>
    <w:rsid w:val="005E2FC3"/>
    <w:rsid w:val="005E37CA"/>
    <w:rsid w:val="005E3E0D"/>
    <w:rsid w:val="005E486C"/>
    <w:rsid w:val="005E508B"/>
    <w:rsid w:val="005E51BD"/>
    <w:rsid w:val="005E587F"/>
    <w:rsid w:val="005E5ED7"/>
    <w:rsid w:val="005E6B00"/>
    <w:rsid w:val="005E7609"/>
    <w:rsid w:val="005E7A47"/>
    <w:rsid w:val="005F09B7"/>
    <w:rsid w:val="005F0FE2"/>
    <w:rsid w:val="005F255B"/>
    <w:rsid w:val="005F2CA8"/>
    <w:rsid w:val="005F3169"/>
    <w:rsid w:val="005F4659"/>
    <w:rsid w:val="005F7CB0"/>
    <w:rsid w:val="005F7D90"/>
    <w:rsid w:val="00601C05"/>
    <w:rsid w:val="00601C53"/>
    <w:rsid w:val="00602643"/>
    <w:rsid w:val="00602CE7"/>
    <w:rsid w:val="00602DDA"/>
    <w:rsid w:val="00603FBA"/>
    <w:rsid w:val="00604BC3"/>
    <w:rsid w:val="0060563A"/>
    <w:rsid w:val="006057B3"/>
    <w:rsid w:val="00605C18"/>
    <w:rsid w:val="00606138"/>
    <w:rsid w:val="006074E9"/>
    <w:rsid w:val="00607D16"/>
    <w:rsid w:val="00611207"/>
    <w:rsid w:val="006112E5"/>
    <w:rsid w:val="0061139C"/>
    <w:rsid w:val="00611400"/>
    <w:rsid w:val="00611502"/>
    <w:rsid w:val="00611E24"/>
    <w:rsid w:val="006121E7"/>
    <w:rsid w:val="006126A6"/>
    <w:rsid w:val="0061359E"/>
    <w:rsid w:val="00613CB2"/>
    <w:rsid w:val="00613D62"/>
    <w:rsid w:val="00614B1B"/>
    <w:rsid w:val="006157A0"/>
    <w:rsid w:val="00616A2B"/>
    <w:rsid w:val="00617379"/>
    <w:rsid w:val="006173FC"/>
    <w:rsid w:val="006178AE"/>
    <w:rsid w:val="00620D96"/>
    <w:rsid w:val="00620DCC"/>
    <w:rsid w:val="00620E49"/>
    <w:rsid w:val="00621DBE"/>
    <w:rsid w:val="006223D9"/>
    <w:rsid w:val="00622E1D"/>
    <w:rsid w:val="00622E89"/>
    <w:rsid w:val="0062319C"/>
    <w:rsid w:val="006244EF"/>
    <w:rsid w:val="00625219"/>
    <w:rsid w:val="00626ACD"/>
    <w:rsid w:val="006277F5"/>
    <w:rsid w:val="006278A0"/>
    <w:rsid w:val="006317F0"/>
    <w:rsid w:val="00631AEB"/>
    <w:rsid w:val="00631D75"/>
    <w:rsid w:val="00631EEA"/>
    <w:rsid w:val="00632AA4"/>
    <w:rsid w:val="006330CE"/>
    <w:rsid w:val="00633641"/>
    <w:rsid w:val="00633A4F"/>
    <w:rsid w:val="0063485A"/>
    <w:rsid w:val="0063604D"/>
    <w:rsid w:val="00637C16"/>
    <w:rsid w:val="00641580"/>
    <w:rsid w:val="0064159A"/>
    <w:rsid w:val="00641AFE"/>
    <w:rsid w:val="00642222"/>
    <w:rsid w:val="0064238B"/>
    <w:rsid w:val="006423DF"/>
    <w:rsid w:val="00643B2E"/>
    <w:rsid w:val="00644448"/>
    <w:rsid w:val="006444C2"/>
    <w:rsid w:val="00646475"/>
    <w:rsid w:val="00646C74"/>
    <w:rsid w:val="00647104"/>
    <w:rsid w:val="00647AD5"/>
    <w:rsid w:val="00651E87"/>
    <w:rsid w:val="0065246F"/>
    <w:rsid w:val="00652D02"/>
    <w:rsid w:val="00652EB6"/>
    <w:rsid w:val="00653064"/>
    <w:rsid w:val="00654125"/>
    <w:rsid w:val="006542A9"/>
    <w:rsid w:val="006547DA"/>
    <w:rsid w:val="00654EB0"/>
    <w:rsid w:val="006553B7"/>
    <w:rsid w:val="00655A14"/>
    <w:rsid w:val="006564BD"/>
    <w:rsid w:val="006565CF"/>
    <w:rsid w:val="00657445"/>
    <w:rsid w:val="00657BCF"/>
    <w:rsid w:val="00657C5D"/>
    <w:rsid w:val="0066095B"/>
    <w:rsid w:val="006610A1"/>
    <w:rsid w:val="0066179F"/>
    <w:rsid w:val="00661C77"/>
    <w:rsid w:val="00662B1C"/>
    <w:rsid w:val="00662D1E"/>
    <w:rsid w:val="00662DDC"/>
    <w:rsid w:val="00663EEB"/>
    <w:rsid w:val="00663EFE"/>
    <w:rsid w:val="00664831"/>
    <w:rsid w:val="00664DB7"/>
    <w:rsid w:val="0066580D"/>
    <w:rsid w:val="0066588D"/>
    <w:rsid w:val="00665A5D"/>
    <w:rsid w:val="00665E56"/>
    <w:rsid w:val="00665F74"/>
    <w:rsid w:val="00666116"/>
    <w:rsid w:val="00666BB7"/>
    <w:rsid w:val="00666BC7"/>
    <w:rsid w:val="00666D53"/>
    <w:rsid w:val="00666E6E"/>
    <w:rsid w:val="00667E7B"/>
    <w:rsid w:val="00671348"/>
    <w:rsid w:val="00671418"/>
    <w:rsid w:val="00671D66"/>
    <w:rsid w:val="0067209E"/>
    <w:rsid w:val="00672A0F"/>
    <w:rsid w:val="00672E7E"/>
    <w:rsid w:val="00673ADE"/>
    <w:rsid w:val="00673FC1"/>
    <w:rsid w:val="00675F31"/>
    <w:rsid w:val="006760A7"/>
    <w:rsid w:val="00677155"/>
    <w:rsid w:val="00677385"/>
    <w:rsid w:val="0067766F"/>
    <w:rsid w:val="006777D0"/>
    <w:rsid w:val="00677A7B"/>
    <w:rsid w:val="00680087"/>
    <w:rsid w:val="00680210"/>
    <w:rsid w:val="00680AFA"/>
    <w:rsid w:val="00680EC5"/>
    <w:rsid w:val="00681A0D"/>
    <w:rsid w:val="00681B4A"/>
    <w:rsid w:val="00681F8E"/>
    <w:rsid w:val="00683146"/>
    <w:rsid w:val="006839D3"/>
    <w:rsid w:val="00683DE1"/>
    <w:rsid w:val="0068400D"/>
    <w:rsid w:val="00684A0E"/>
    <w:rsid w:val="00684B26"/>
    <w:rsid w:val="00684BFC"/>
    <w:rsid w:val="006851B6"/>
    <w:rsid w:val="006862C0"/>
    <w:rsid w:val="00687003"/>
    <w:rsid w:val="00687FD9"/>
    <w:rsid w:val="00690677"/>
    <w:rsid w:val="006907E3"/>
    <w:rsid w:val="00690919"/>
    <w:rsid w:val="006921AD"/>
    <w:rsid w:val="00692447"/>
    <w:rsid w:val="006938C8"/>
    <w:rsid w:val="006945D3"/>
    <w:rsid w:val="0069662F"/>
    <w:rsid w:val="00696904"/>
    <w:rsid w:val="00696D86"/>
    <w:rsid w:val="006972DC"/>
    <w:rsid w:val="006975F0"/>
    <w:rsid w:val="00697776"/>
    <w:rsid w:val="006A07B9"/>
    <w:rsid w:val="006A140D"/>
    <w:rsid w:val="006A1515"/>
    <w:rsid w:val="006A27A6"/>
    <w:rsid w:val="006A2F17"/>
    <w:rsid w:val="006A423D"/>
    <w:rsid w:val="006A6DA5"/>
    <w:rsid w:val="006A7723"/>
    <w:rsid w:val="006A7DAD"/>
    <w:rsid w:val="006B0A40"/>
    <w:rsid w:val="006B1F36"/>
    <w:rsid w:val="006B207F"/>
    <w:rsid w:val="006B2317"/>
    <w:rsid w:val="006B33F3"/>
    <w:rsid w:val="006B4EEB"/>
    <w:rsid w:val="006B5088"/>
    <w:rsid w:val="006B5414"/>
    <w:rsid w:val="006B5510"/>
    <w:rsid w:val="006B5A8E"/>
    <w:rsid w:val="006B6026"/>
    <w:rsid w:val="006B61B3"/>
    <w:rsid w:val="006B6FC4"/>
    <w:rsid w:val="006B705F"/>
    <w:rsid w:val="006B75B0"/>
    <w:rsid w:val="006B76CA"/>
    <w:rsid w:val="006B7701"/>
    <w:rsid w:val="006B7DCD"/>
    <w:rsid w:val="006C069D"/>
    <w:rsid w:val="006C21BE"/>
    <w:rsid w:val="006C44F5"/>
    <w:rsid w:val="006C5F8B"/>
    <w:rsid w:val="006C6229"/>
    <w:rsid w:val="006C62C7"/>
    <w:rsid w:val="006C776C"/>
    <w:rsid w:val="006D0743"/>
    <w:rsid w:val="006D09C0"/>
    <w:rsid w:val="006D09D7"/>
    <w:rsid w:val="006D0FA8"/>
    <w:rsid w:val="006D11A1"/>
    <w:rsid w:val="006D168D"/>
    <w:rsid w:val="006D3AD9"/>
    <w:rsid w:val="006D3FE6"/>
    <w:rsid w:val="006D4B43"/>
    <w:rsid w:val="006D5643"/>
    <w:rsid w:val="006D5BBE"/>
    <w:rsid w:val="006D655F"/>
    <w:rsid w:val="006D67CB"/>
    <w:rsid w:val="006D681B"/>
    <w:rsid w:val="006D69A5"/>
    <w:rsid w:val="006D6A08"/>
    <w:rsid w:val="006D6AB4"/>
    <w:rsid w:val="006D6AC4"/>
    <w:rsid w:val="006D7661"/>
    <w:rsid w:val="006D76F0"/>
    <w:rsid w:val="006D7B79"/>
    <w:rsid w:val="006D7B8B"/>
    <w:rsid w:val="006E046D"/>
    <w:rsid w:val="006E051F"/>
    <w:rsid w:val="006E0ADA"/>
    <w:rsid w:val="006E0CE2"/>
    <w:rsid w:val="006E0E36"/>
    <w:rsid w:val="006E1A9C"/>
    <w:rsid w:val="006E208A"/>
    <w:rsid w:val="006E21EA"/>
    <w:rsid w:val="006E332C"/>
    <w:rsid w:val="006E37B6"/>
    <w:rsid w:val="006E42B1"/>
    <w:rsid w:val="006E4404"/>
    <w:rsid w:val="006E46CC"/>
    <w:rsid w:val="006E5205"/>
    <w:rsid w:val="006E6B48"/>
    <w:rsid w:val="006E6DED"/>
    <w:rsid w:val="006E70D5"/>
    <w:rsid w:val="006E7BBB"/>
    <w:rsid w:val="006F00C8"/>
    <w:rsid w:val="006F04A6"/>
    <w:rsid w:val="006F0C24"/>
    <w:rsid w:val="006F1B74"/>
    <w:rsid w:val="006F206E"/>
    <w:rsid w:val="006F2679"/>
    <w:rsid w:val="006F286B"/>
    <w:rsid w:val="006F2DFC"/>
    <w:rsid w:val="006F3845"/>
    <w:rsid w:val="006F3BFC"/>
    <w:rsid w:val="006F3EED"/>
    <w:rsid w:val="006F454A"/>
    <w:rsid w:val="006F4AA3"/>
    <w:rsid w:val="006F5A5C"/>
    <w:rsid w:val="006F68C6"/>
    <w:rsid w:val="006F7C58"/>
    <w:rsid w:val="00700C90"/>
    <w:rsid w:val="007013FE"/>
    <w:rsid w:val="00701449"/>
    <w:rsid w:val="007015A3"/>
    <w:rsid w:val="00701B1F"/>
    <w:rsid w:val="00703ED8"/>
    <w:rsid w:val="00704426"/>
    <w:rsid w:val="00704862"/>
    <w:rsid w:val="00705E36"/>
    <w:rsid w:val="00706137"/>
    <w:rsid w:val="00706359"/>
    <w:rsid w:val="00706371"/>
    <w:rsid w:val="007077A6"/>
    <w:rsid w:val="00710364"/>
    <w:rsid w:val="00710414"/>
    <w:rsid w:val="00710C55"/>
    <w:rsid w:val="00710F72"/>
    <w:rsid w:val="00712A38"/>
    <w:rsid w:val="007134BC"/>
    <w:rsid w:val="007136D5"/>
    <w:rsid w:val="00713A5D"/>
    <w:rsid w:val="00713D72"/>
    <w:rsid w:val="007143F4"/>
    <w:rsid w:val="007147F6"/>
    <w:rsid w:val="00714D3B"/>
    <w:rsid w:val="00715104"/>
    <w:rsid w:val="00715AC8"/>
    <w:rsid w:val="007163C3"/>
    <w:rsid w:val="00716408"/>
    <w:rsid w:val="007165CA"/>
    <w:rsid w:val="00716D4A"/>
    <w:rsid w:val="00717573"/>
    <w:rsid w:val="00717D30"/>
    <w:rsid w:val="007206E7"/>
    <w:rsid w:val="00721389"/>
    <w:rsid w:val="007214D0"/>
    <w:rsid w:val="00722820"/>
    <w:rsid w:val="007237F8"/>
    <w:rsid w:val="0072436F"/>
    <w:rsid w:val="00724E12"/>
    <w:rsid w:val="0072691C"/>
    <w:rsid w:val="00726D32"/>
    <w:rsid w:val="00727129"/>
    <w:rsid w:val="00730302"/>
    <w:rsid w:val="007313B4"/>
    <w:rsid w:val="007315DB"/>
    <w:rsid w:val="00732E5D"/>
    <w:rsid w:val="00734347"/>
    <w:rsid w:val="007348AB"/>
    <w:rsid w:val="007349C4"/>
    <w:rsid w:val="00734B38"/>
    <w:rsid w:val="0073535B"/>
    <w:rsid w:val="00735F80"/>
    <w:rsid w:val="00736043"/>
    <w:rsid w:val="00740314"/>
    <w:rsid w:val="00740CC6"/>
    <w:rsid w:val="00741983"/>
    <w:rsid w:val="00741BF6"/>
    <w:rsid w:val="007424BC"/>
    <w:rsid w:val="00742628"/>
    <w:rsid w:val="007428AE"/>
    <w:rsid w:val="007440AD"/>
    <w:rsid w:val="007441BC"/>
    <w:rsid w:val="007449FA"/>
    <w:rsid w:val="00745F18"/>
    <w:rsid w:val="00746A0C"/>
    <w:rsid w:val="00747106"/>
    <w:rsid w:val="007479DE"/>
    <w:rsid w:val="007515CC"/>
    <w:rsid w:val="00752F9F"/>
    <w:rsid w:val="00753AE3"/>
    <w:rsid w:val="00753BF1"/>
    <w:rsid w:val="00753D93"/>
    <w:rsid w:val="00753F70"/>
    <w:rsid w:val="007547B6"/>
    <w:rsid w:val="00754883"/>
    <w:rsid w:val="00754AE9"/>
    <w:rsid w:val="00754BE9"/>
    <w:rsid w:val="00755723"/>
    <w:rsid w:val="007562A2"/>
    <w:rsid w:val="00756982"/>
    <w:rsid w:val="0075762D"/>
    <w:rsid w:val="007617C9"/>
    <w:rsid w:val="00761CC0"/>
    <w:rsid w:val="00761EF0"/>
    <w:rsid w:val="00763B49"/>
    <w:rsid w:val="0076403C"/>
    <w:rsid w:val="00765760"/>
    <w:rsid w:val="00766400"/>
    <w:rsid w:val="007667D1"/>
    <w:rsid w:val="00767490"/>
    <w:rsid w:val="007674D7"/>
    <w:rsid w:val="007678F0"/>
    <w:rsid w:val="00767DB4"/>
    <w:rsid w:val="00770280"/>
    <w:rsid w:val="0077035A"/>
    <w:rsid w:val="00770749"/>
    <w:rsid w:val="00770F47"/>
    <w:rsid w:val="00772404"/>
    <w:rsid w:val="007729FC"/>
    <w:rsid w:val="007738FC"/>
    <w:rsid w:val="007739C2"/>
    <w:rsid w:val="007739FE"/>
    <w:rsid w:val="0077409F"/>
    <w:rsid w:val="00774379"/>
    <w:rsid w:val="007746ED"/>
    <w:rsid w:val="00774B76"/>
    <w:rsid w:val="00775A61"/>
    <w:rsid w:val="00775A66"/>
    <w:rsid w:val="007762EB"/>
    <w:rsid w:val="00776F35"/>
    <w:rsid w:val="00777547"/>
    <w:rsid w:val="00777853"/>
    <w:rsid w:val="00777B21"/>
    <w:rsid w:val="00780AD1"/>
    <w:rsid w:val="00781FFA"/>
    <w:rsid w:val="0078209A"/>
    <w:rsid w:val="00782992"/>
    <w:rsid w:val="00782DDE"/>
    <w:rsid w:val="00782FA5"/>
    <w:rsid w:val="007831A0"/>
    <w:rsid w:val="00783866"/>
    <w:rsid w:val="00783D22"/>
    <w:rsid w:val="00784416"/>
    <w:rsid w:val="0078778C"/>
    <w:rsid w:val="007904CF"/>
    <w:rsid w:val="00790C63"/>
    <w:rsid w:val="0079191A"/>
    <w:rsid w:val="00792134"/>
    <w:rsid w:val="00792580"/>
    <w:rsid w:val="00792D5D"/>
    <w:rsid w:val="00794120"/>
    <w:rsid w:val="00795395"/>
    <w:rsid w:val="00796200"/>
    <w:rsid w:val="00796DC4"/>
    <w:rsid w:val="007972A2"/>
    <w:rsid w:val="00797426"/>
    <w:rsid w:val="007A026B"/>
    <w:rsid w:val="007A0ECB"/>
    <w:rsid w:val="007A1811"/>
    <w:rsid w:val="007A2011"/>
    <w:rsid w:val="007A21A4"/>
    <w:rsid w:val="007A5668"/>
    <w:rsid w:val="007A574F"/>
    <w:rsid w:val="007A5BA2"/>
    <w:rsid w:val="007A608A"/>
    <w:rsid w:val="007A712C"/>
    <w:rsid w:val="007A7A89"/>
    <w:rsid w:val="007A7CBB"/>
    <w:rsid w:val="007A7D1D"/>
    <w:rsid w:val="007B090B"/>
    <w:rsid w:val="007B0E37"/>
    <w:rsid w:val="007B280A"/>
    <w:rsid w:val="007B3351"/>
    <w:rsid w:val="007B3B74"/>
    <w:rsid w:val="007B41AB"/>
    <w:rsid w:val="007B4C84"/>
    <w:rsid w:val="007B4F7A"/>
    <w:rsid w:val="007B5FCB"/>
    <w:rsid w:val="007B6035"/>
    <w:rsid w:val="007B69BB"/>
    <w:rsid w:val="007B6B69"/>
    <w:rsid w:val="007B7172"/>
    <w:rsid w:val="007C07C2"/>
    <w:rsid w:val="007C0C82"/>
    <w:rsid w:val="007C179D"/>
    <w:rsid w:val="007C27E2"/>
    <w:rsid w:val="007C2A10"/>
    <w:rsid w:val="007C3020"/>
    <w:rsid w:val="007C406B"/>
    <w:rsid w:val="007C487B"/>
    <w:rsid w:val="007C52C0"/>
    <w:rsid w:val="007C5485"/>
    <w:rsid w:val="007C5B0F"/>
    <w:rsid w:val="007C6F69"/>
    <w:rsid w:val="007C7698"/>
    <w:rsid w:val="007D2924"/>
    <w:rsid w:val="007D3037"/>
    <w:rsid w:val="007D3965"/>
    <w:rsid w:val="007D3FFE"/>
    <w:rsid w:val="007D500C"/>
    <w:rsid w:val="007D6328"/>
    <w:rsid w:val="007D66AF"/>
    <w:rsid w:val="007D7D30"/>
    <w:rsid w:val="007E12EE"/>
    <w:rsid w:val="007E15A4"/>
    <w:rsid w:val="007E1F08"/>
    <w:rsid w:val="007E22A6"/>
    <w:rsid w:val="007E238E"/>
    <w:rsid w:val="007E23BA"/>
    <w:rsid w:val="007E24B9"/>
    <w:rsid w:val="007E2652"/>
    <w:rsid w:val="007E41CE"/>
    <w:rsid w:val="007E513F"/>
    <w:rsid w:val="007E55B5"/>
    <w:rsid w:val="007E55F7"/>
    <w:rsid w:val="007E56A7"/>
    <w:rsid w:val="007E5C58"/>
    <w:rsid w:val="007E63EA"/>
    <w:rsid w:val="007E6D65"/>
    <w:rsid w:val="007E7192"/>
    <w:rsid w:val="007F0DBC"/>
    <w:rsid w:val="007F1075"/>
    <w:rsid w:val="007F2493"/>
    <w:rsid w:val="007F2E62"/>
    <w:rsid w:val="007F3F5D"/>
    <w:rsid w:val="007F402E"/>
    <w:rsid w:val="007F4B63"/>
    <w:rsid w:val="007F5238"/>
    <w:rsid w:val="007F58F4"/>
    <w:rsid w:val="007F5DEA"/>
    <w:rsid w:val="007F5FD8"/>
    <w:rsid w:val="007F6264"/>
    <w:rsid w:val="007F6274"/>
    <w:rsid w:val="007F6C23"/>
    <w:rsid w:val="007F7777"/>
    <w:rsid w:val="008005AC"/>
    <w:rsid w:val="00801BF9"/>
    <w:rsid w:val="00801D9B"/>
    <w:rsid w:val="008029CC"/>
    <w:rsid w:val="008041F5"/>
    <w:rsid w:val="008042E3"/>
    <w:rsid w:val="00804A84"/>
    <w:rsid w:val="00804BBE"/>
    <w:rsid w:val="00804EEA"/>
    <w:rsid w:val="008058D5"/>
    <w:rsid w:val="008062D3"/>
    <w:rsid w:val="00807C34"/>
    <w:rsid w:val="00807CC7"/>
    <w:rsid w:val="00810067"/>
    <w:rsid w:val="008105EF"/>
    <w:rsid w:val="00810941"/>
    <w:rsid w:val="00810FE4"/>
    <w:rsid w:val="0081119D"/>
    <w:rsid w:val="00811B29"/>
    <w:rsid w:val="00811EA7"/>
    <w:rsid w:val="00813640"/>
    <w:rsid w:val="00813CDA"/>
    <w:rsid w:val="00813F24"/>
    <w:rsid w:val="00814036"/>
    <w:rsid w:val="00814E96"/>
    <w:rsid w:val="0081551C"/>
    <w:rsid w:val="008167B0"/>
    <w:rsid w:val="0081706C"/>
    <w:rsid w:val="008177CF"/>
    <w:rsid w:val="00817D5D"/>
    <w:rsid w:val="0082086F"/>
    <w:rsid w:val="00821E07"/>
    <w:rsid w:val="0082202B"/>
    <w:rsid w:val="00822040"/>
    <w:rsid w:val="0082348F"/>
    <w:rsid w:val="0082389E"/>
    <w:rsid w:val="00823C8A"/>
    <w:rsid w:val="00823D3A"/>
    <w:rsid w:val="008250E9"/>
    <w:rsid w:val="00825661"/>
    <w:rsid w:val="00825F81"/>
    <w:rsid w:val="00825FFB"/>
    <w:rsid w:val="00826629"/>
    <w:rsid w:val="00826B74"/>
    <w:rsid w:val="00827101"/>
    <w:rsid w:val="00827541"/>
    <w:rsid w:val="00827B6C"/>
    <w:rsid w:val="00827F6D"/>
    <w:rsid w:val="00830177"/>
    <w:rsid w:val="008308B4"/>
    <w:rsid w:val="00831142"/>
    <w:rsid w:val="0083344B"/>
    <w:rsid w:val="00834422"/>
    <w:rsid w:val="00834EF1"/>
    <w:rsid w:val="008353A3"/>
    <w:rsid w:val="00835476"/>
    <w:rsid w:val="008354F7"/>
    <w:rsid w:val="00836480"/>
    <w:rsid w:val="00836A86"/>
    <w:rsid w:val="00836F18"/>
    <w:rsid w:val="008372C8"/>
    <w:rsid w:val="0083756E"/>
    <w:rsid w:val="00842324"/>
    <w:rsid w:val="00843DF4"/>
    <w:rsid w:val="00843E00"/>
    <w:rsid w:val="00844850"/>
    <w:rsid w:val="008450CC"/>
    <w:rsid w:val="008454EE"/>
    <w:rsid w:val="00845823"/>
    <w:rsid w:val="0084673E"/>
    <w:rsid w:val="00847167"/>
    <w:rsid w:val="008474BC"/>
    <w:rsid w:val="008501FE"/>
    <w:rsid w:val="00850B9B"/>
    <w:rsid w:val="008511A0"/>
    <w:rsid w:val="008511AE"/>
    <w:rsid w:val="00852305"/>
    <w:rsid w:val="008534FF"/>
    <w:rsid w:val="00854460"/>
    <w:rsid w:val="00854C64"/>
    <w:rsid w:val="008552CF"/>
    <w:rsid w:val="008554A6"/>
    <w:rsid w:val="0085570C"/>
    <w:rsid w:val="0085597B"/>
    <w:rsid w:val="00855C17"/>
    <w:rsid w:val="008569FA"/>
    <w:rsid w:val="00856CF2"/>
    <w:rsid w:val="00856EED"/>
    <w:rsid w:val="00856FEA"/>
    <w:rsid w:val="00857D61"/>
    <w:rsid w:val="00857DF9"/>
    <w:rsid w:val="00857EDE"/>
    <w:rsid w:val="008600CB"/>
    <w:rsid w:val="008600ED"/>
    <w:rsid w:val="00860AE8"/>
    <w:rsid w:val="0086109B"/>
    <w:rsid w:val="008613FC"/>
    <w:rsid w:val="00862A9F"/>
    <w:rsid w:val="00864206"/>
    <w:rsid w:val="00864AB6"/>
    <w:rsid w:val="00864F1F"/>
    <w:rsid w:val="008654A8"/>
    <w:rsid w:val="0086666F"/>
    <w:rsid w:val="00866ED1"/>
    <w:rsid w:val="008679FA"/>
    <w:rsid w:val="00870A82"/>
    <w:rsid w:val="00871CB7"/>
    <w:rsid w:val="00872039"/>
    <w:rsid w:val="00872C56"/>
    <w:rsid w:val="00872EEB"/>
    <w:rsid w:val="00873753"/>
    <w:rsid w:val="00873C1D"/>
    <w:rsid w:val="008743DE"/>
    <w:rsid w:val="008756B9"/>
    <w:rsid w:val="00876F22"/>
    <w:rsid w:val="008800CE"/>
    <w:rsid w:val="008806EE"/>
    <w:rsid w:val="00880861"/>
    <w:rsid w:val="00880D23"/>
    <w:rsid w:val="008818F2"/>
    <w:rsid w:val="008821C3"/>
    <w:rsid w:val="00882CE8"/>
    <w:rsid w:val="0088333D"/>
    <w:rsid w:val="00883B7F"/>
    <w:rsid w:val="008840E4"/>
    <w:rsid w:val="00884F45"/>
    <w:rsid w:val="00886200"/>
    <w:rsid w:val="008865CE"/>
    <w:rsid w:val="00886635"/>
    <w:rsid w:val="008872D5"/>
    <w:rsid w:val="00887B38"/>
    <w:rsid w:val="00887CF0"/>
    <w:rsid w:val="00890AD9"/>
    <w:rsid w:val="008917C4"/>
    <w:rsid w:val="00891912"/>
    <w:rsid w:val="00894205"/>
    <w:rsid w:val="00894A89"/>
    <w:rsid w:val="0089530A"/>
    <w:rsid w:val="0089741F"/>
    <w:rsid w:val="00897B16"/>
    <w:rsid w:val="008A059F"/>
    <w:rsid w:val="008A1A98"/>
    <w:rsid w:val="008A1C1D"/>
    <w:rsid w:val="008A1C47"/>
    <w:rsid w:val="008A1CF8"/>
    <w:rsid w:val="008A1E6B"/>
    <w:rsid w:val="008A1FA6"/>
    <w:rsid w:val="008A21AD"/>
    <w:rsid w:val="008A24E1"/>
    <w:rsid w:val="008A2CED"/>
    <w:rsid w:val="008A2EDC"/>
    <w:rsid w:val="008A320B"/>
    <w:rsid w:val="008A4608"/>
    <w:rsid w:val="008A52C9"/>
    <w:rsid w:val="008A53F3"/>
    <w:rsid w:val="008A5CAB"/>
    <w:rsid w:val="008A60F8"/>
    <w:rsid w:val="008A64E3"/>
    <w:rsid w:val="008A6CD2"/>
    <w:rsid w:val="008A7121"/>
    <w:rsid w:val="008B0019"/>
    <w:rsid w:val="008B002B"/>
    <w:rsid w:val="008B02D8"/>
    <w:rsid w:val="008B13DD"/>
    <w:rsid w:val="008B1402"/>
    <w:rsid w:val="008B1470"/>
    <w:rsid w:val="008B165B"/>
    <w:rsid w:val="008B2F63"/>
    <w:rsid w:val="008B35D8"/>
    <w:rsid w:val="008B3A1C"/>
    <w:rsid w:val="008B59AD"/>
    <w:rsid w:val="008B7BC4"/>
    <w:rsid w:val="008B7D5A"/>
    <w:rsid w:val="008B7EE2"/>
    <w:rsid w:val="008C055A"/>
    <w:rsid w:val="008C0A9C"/>
    <w:rsid w:val="008C1032"/>
    <w:rsid w:val="008C1349"/>
    <w:rsid w:val="008C1CC2"/>
    <w:rsid w:val="008C1E68"/>
    <w:rsid w:val="008C1EB6"/>
    <w:rsid w:val="008C239F"/>
    <w:rsid w:val="008C3096"/>
    <w:rsid w:val="008C36C8"/>
    <w:rsid w:val="008C47DE"/>
    <w:rsid w:val="008C49D2"/>
    <w:rsid w:val="008C536D"/>
    <w:rsid w:val="008C5EBC"/>
    <w:rsid w:val="008C70E9"/>
    <w:rsid w:val="008C712D"/>
    <w:rsid w:val="008D0BB7"/>
    <w:rsid w:val="008D18B0"/>
    <w:rsid w:val="008D1F94"/>
    <w:rsid w:val="008D1FEB"/>
    <w:rsid w:val="008D2316"/>
    <w:rsid w:val="008D2867"/>
    <w:rsid w:val="008D2DE5"/>
    <w:rsid w:val="008D32A3"/>
    <w:rsid w:val="008D3A30"/>
    <w:rsid w:val="008D41B7"/>
    <w:rsid w:val="008D4837"/>
    <w:rsid w:val="008D536A"/>
    <w:rsid w:val="008D5477"/>
    <w:rsid w:val="008D5A40"/>
    <w:rsid w:val="008D6616"/>
    <w:rsid w:val="008D70C3"/>
    <w:rsid w:val="008D79CD"/>
    <w:rsid w:val="008E026A"/>
    <w:rsid w:val="008E03DE"/>
    <w:rsid w:val="008E10FD"/>
    <w:rsid w:val="008E1CBA"/>
    <w:rsid w:val="008E1CFD"/>
    <w:rsid w:val="008E2949"/>
    <w:rsid w:val="008E4890"/>
    <w:rsid w:val="008E5625"/>
    <w:rsid w:val="008E5DBC"/>
    <w:rsid w:val="008E6D19"/>
    <w:rsid w:val="008E6D77"/>
    <w:rsid w:val="008E6F0F"/>
    <w:rsid w:val="008E7B0E"/>
    <w:rsid w:val="008F1086"/>
    <w:rsid w:val="008F2A3E"/>
    <w:rsid w:val="008F2FC5"/>
    <w:rsid w:val="008F3657"/>
    <w:rsid w:val="008F3999"/>
    <w:rsid w:val="008F3F67"/>
    <w:rsid w:val="008F3F6B"/>
    <w:rsid w:val="008F40B6"/>
    <w:rsid w:val="008F45D8"/>
    <w:rsid w:val="008F4761"/>
    <w:rsid w:val="008F527A"/>
    <w:rsid w:val="008F577F"/>
    <w:rsid w:val="008F5FD0"/>
    <w:rsid w:val="008F644A"/>
    <w:rsid w:val="008F75FA"/>
    <w:rsid w:val="00900697"/>
    <w:rsid w:val="009007DA"/>
    <w:rsid w:val="00901125"/>
    <w:rsid w:val="00901172"/>
    <w:rsid w:val="0090197C"/>
    <w:rsid w:val="00901FA3"/>
    <w:rsid w:val="009035F3"/>
    <w:rsid w:val="00903DBB"/>
    <w:rsid w:val="00903DD2"/>
    <w:rsid w:val="00903EA0"/>
    <w:rsid w:val="0090609F"/>
    <w:rsid w:val="00906662"/>
    <w:rsid w:val="009070C0"/>
    <w:rsid w:val="0090795D"/>
    <w:rsid w:val="009101AD"/>
    <w:rsid w:val="00910BCF"/>
    <w:rsid w:val="009113C0"/>
    <w:rsid w:val="0091250E"/>
    <w:rsid w:val="00912C28"/>
    <w:rsid w:val="009155EC"/>
    <w:rsid w:val="0091599D"/>
    <w:rsid w:val="00915C4A"/>
    <w:rsid w:val="00916057"/>
    <w:rsid w:val="00916BB1"/>
    <w:rsid w:val="00917D70"/>
    <w:rsid w:val="00920856"/>
    <w:rsid w:val="00921439"/>
    <w:rsid w:val="009215E3"/>
    <w:rsid w:val="00922071"/>
    <w:rsid w:val="00923893"/>
    <w:rsid w:val="009245C3"/>
    <w:rsid w:val="00924EBB"/>
    <w:rsid w:val="009250F4"/>
    <w:rsid w:val="00926841"/>
    <w:rsid w:val="00926D27"/>
    <w:rsid w:val="00927887"/>
    <w:rsid w:val="009301E9"/>
    <w:rsid w:val="00930E41"/>
    <w:rsid w:val="00930E46"/>
    <w:rsid w:val="0093176F"/>
    <w:rsid w:val="00931A56"/>
    <w:rsid w:val="00932055"/>
    <w:rsid w:val="009320A9"/>
    <w:rsid w:val="00932422"/>
    <w:rsid w:val="0093246A"/>
    <w:rsid w:val="00932E9B"/>
    <w:rsid w:val="009331D1"/>
    <w:rsid w:val="00934A26"/>
    <w:rsid w:val="009374C3"/>
    <w:rsid w:val="00941540"/>
    <w:rsid w:val="009420AE"/>
    <w:rsid w:val="009428A8"/>
    <w:rsid w:val="00943C9D"/>
    <w:rsid w:val="00944D45"/>
    <w:rsid w:val="00944E10"/>
    <w:rsid w:val="009453CC"/>
    <w:rsid w:val="00945429"/>
    <w:rsid w:val="009461F1"/>
    <w:rsid w:val="00947CA0"/>
    <w:rsid w:val="00951828"/>
    <w:rsid w:val="0095274A"/>
    <w:rsid w:val="009529E8"/>
    <w:rsid w:val="00952B83"/>
    <w:rsid w:val="0095449E"/>
    <w:rsid w:val="00954E2A"/>
    <w:rsid w:val="009578FF"/>
    <w:rsid w:val="00957A65"/>
    <w:rsid w:val="009603E6"/>
    <w:rsid w:val="009605E8"/>
    <w:rsid w:val="00961DBC"/>
    <w:rsid w:val="00961EDF"/>
    <w:rsid w:val="009628D2"/>
    <w:rsid w:val="00963EFD"/>
    <w:rsid w:val="00963FF6"/>
    <w:rsid w:val="0096429C"/>
    <w:rsid w:val="00964B29"/>
    <w:rsid w:val="00966C79"/>
    <w:rsid w:val="0096727C"/>
    <w:rsid w:val="00967A54"/>
    <w:rsid w:val="00967EB8"/>
    <w:rsid w:val="00970657"/>
    <w:rsid w:val="00970FE8"/>
    <w:rsid w:val="009715E6"/>
    <w:rsid w:val="009719BB"/>
    <w:rsid w:val="00971A61"/>
    <w:rsid w:val="00972169"/>
    <w:rsid w:val="0097282D"/>
    <w:rsid w:val="00973A16"/>
    <w:rsid w:val="0097479B"/>
    <w:rsid w:val="00974983"/>
    <w:rsid w:val="009755B5"/>
    <w:rsid w:val="00975891"/>
    <w:rsid w:val="00975F07"/>
    <w:rsid w:val="009767B5"/>
    <w:rsid w:val="00976F38"/>
    <w:rsid w:val="0097709A"/>
    <w:rsid w:val="00977109"/>
    <w:rsid w:val="00977361"/>
    <w:rsid w:val="00977742"/>
    <w:rsid w:val="00977C47"/>
    <w:rsid w:val="0098022D"/>
    <w:rsid w:val="00980496"/>
    <w:rsid w:val="00980CBF"/>
    <w:rsid w:val="00981013"/>
    <w:rsid w:val="0098167C"/>
    <w:rsid w:val="009819E5"/>
    <w:rsid w:val="00981E8C"/>
    <w:rsid w:val="00982059"/>
    <w:rsid w:val="009827EB"/>
    <w:rsid w:val="0098363A"/>
    <w:rsid w:val="00983E10"/>
    <w:rsid w:val="00985087"/>
    <w:rsid w:val="009851E5"/>
    <w:rsid w:val="009857E7"/>
    <w:rsid w:val="00985806"/>
    <w:rsid w:val="00985B38"/>
    <w:rsid w:val="00985BA9"/>
    <w:rsid w:val="009869E9"/>
    <w:rsid w:val="00986ABA"/>
    <w:rsid w:val="009870C8"/>
    <w:rsid w:val="00987425"/>
    <w:rsid w:val="00987998"/>
    <w:rsid w:val="00990AA8"/>
    <w:rsid w:val="009919F4"/>
    <w:rsid w:val="00991B3F"/>
    <w:rsid w:val="00991D28"/>
    <w:rsid w:val="009924AA"/>
    <w:rsid w:val="00993B03"/>
    <w:rsid w:val="009949E3"/>
    <w:rsid w:val="00994F9A"/>
    <w:rsid w:val="0099550D"/>
    <w:rsid w:val="00996402"/>
    <w:rsid w:val="00996563"/>
    <w:rsid w:val="00996FAB"/>
    <w:rsid w:val="00997530"/>
    <w:rsid w:val="00997563"/>
    <w:rsid w:val="009A0DFA"/>
    <w:rsid w:val="009A21C6"/>
    <w:rsid w:val="009A2CFA"/>
    <w:rsid w:val="009A2FB3"/>
    <w:rsid w:val="009A4C0D"/>
    <w:rsid w:val="009A4CC7"/>
    <w:rsid w:val="009A5BE4"/>
    <w:rsid w:val="009A5D1F"/>
    <w:rsid w:val="009A68F0"/>
    <w:rsid w:val="009A7E31"/>
    <w:rsid w:val="009B0B20"/>
    <w:rsid w:val="009B1B40"/>
    <w:rsid w:val="009B2D51"/>
    <w:rsid w:val="009B2E1C"/>
    <w:rsid w:val="009B37F4"/>
    <w:rsid w:val="009B4162"/>
    <w:rsid w:val="009B5429"/>
    <w:rsid w:val="009B59A1"/>
    <w:rsid w:val="009B5EAC"/>
    <w:rsid w:val="009B5F06"/>
    <w:rsid w:val="009B71EE"/>
    <w:rsid w:val="009B798A"/>
    <w:rsid w:val="009B7C83"/>
    <w:rsid w:val="009C1193"/>
    <w:rsid w:val="009C1935"/>
    <w:rsid w:val="009C25F9"/>
    <w:rsid w:val="009C31CE"/>
    <w:rsid w:val="009C34BA"/>
    <w:rsid w:val="009C3BD5"/>
    <w:rsid w:val="009C3D4F"/>
    <w:rsid w:val="009C495C"/>
    <w:rsid w:val="009C5276"/>
    <w:rsid w:val="009C6344"/>
    <w:rsid w:val="009C6562"/>
    <w:rsid w:val="009C7559"/>
    <w:rsid w:val="009D005C"/>
    <w:rsid w:val="009D0E9C"/>
    <w:rsid w:val="009D1627"/>
    <w:rsid w:val="009D1FCD"/>
    <w:rsid w:val="009D2334"/>
    <w:rsid w:val="009D3316"/>
    <w:rsid w:val="009D343A"/>
    <w:rsid w:val="009D43AF"/>
    <w:rsid w:val="009D46E5"/>
    <w:rsid w:val="009D6414"/>
    <w:rsid w:val="009D68E0"/>
    <w:rsid w:val="009D6F0E"/>
    <w:rsid w:val="009D70E4"/>
    <w:rsid w:val="009D7240"/>
    <w:rsid w:val="009D7898"/>
    <w:rsid w:val="009D7C45"/>
    <w:rsid w:val="009E1FDB"/>
    <w:rsid w:val="009E2415"/>
    <w:rsid w:val="009E2B1E"/>
    <w:rsid w:val="009E35F6"/>
    <w:rsid w:val="009E4A41"/>
    <w:rsid w:val="009E5B63"/>
    <w:rsid w:val="009E737E"/>
    <w:rsid w:val="009E77D4"/>
    <w:rsid w:val="009F02EB"/>
    <w:rsid w:val="009F15F6"/>
    <w:rsid w:val="009F19B3"/>
    <w:rsid w:val="009F3842"/>
    <w:rsid w:val="009F48A3"/>
    <w:rsid w:val="009F5312"/>
    <w:rsid w:val="009F54F9"/>
    <w:rsid w:val="009F6882"/>
    <w:rsid w:val="009F6BB1"/>
    <w:rsid w:val="009F7141"/>
    <w:rsid w:val="009F792D"/>
    <w:rsid w:val="009F7DA5"/>
    <w:rsid w:val="009F7FE5"/>
    <w:rsid w:val="00A013FE"/>
    <w:rsid w:val="00A01638"/>
    <w:rsid w:val="00A020F1"/>
    <w:rsid w:val="00A02A77"/>
    <w:rsid w:val="00A03032"/>
    <w:rsid w:val="00A0334E"/>
    <w:rsid w:val="00A03D04"/>
    <w:rsid w:val="00A0459A"/>
    <w:rsid w:val="00A054FB"/>
    <w:rsid w:val="00A05691"/>
    <w:rsid w:val="00A05CEA"/>
    <w:rsid w:val="00A05FA8"/>
    <w:rsid w:val="00A11851"/>
    <w:rsid w:val="00A11918"/>
    <w:rsid w:val="00A127C1"/>
    <w:rsid w:val="00A13873"/>
    <w:rsid w:val="00A1437D"/>
    <w:rsid w:val="00A16566"/>
    <w:rsid w:val="00A20550"/>
    <w:rsid w:val="00A21871"/>
    <w:rsid w:val="00A21979"/>
    <w:rsid w:val="00A223CD"/>
    <w:rsid w:val="00A22AE9"/>
    <w:rsid w:val="00A22ED6"/>
    <w:rsid w:val="00A231CA"/>
    <w:rsid w:val="00A2339E"/>
    <w:rsid w:val="00A23448"/>
    <w:rsid w:val="00A23744"/>
    <w:rsid w:val="00A23F5F"/>
    <w:rsid w:val="00A252E9"/>
    <w:rsid w:val="00A2592B"/>
    <w:rsid w:val="00A25C79"/>
    <w:rsid w:val="00A26384"/>
    <w:rsid w:val="00A268A1"/>
    <w:rsid w:val="00A27C2B"/>
    <w:rsid w:val="00A30AF7"/>
    <w:rsid w:val="00A311DB"/>
    <w:rsid w:val="00A3359C"/>
    <w:rsid w:val="00A3372A"/>
    <w:rsid w:val="00A33E2B"/>
    <w:rsid w:val="00A342D9"/>
    <w:rsid w:val="00A34815"/>
    <w:rsid w:val="00A34EEF"/>
    <w:rsid w:val="00A35225"/>
    <w:rsid w:val="00A355B9"/>
    <w:rsid w:val="00A36BE6"/>
    <w:rsid w:val="00A36C8E"/>
    <w:rsid w:val="00A36EFD"/>
    <w:rsid w:val="00A3748D"/>
    <w:rsid w:val="00A401FC"/>
    <w:rsid w:val="00A403BF"/>
    <w:rsid w:val="00A407B6"/>
    <w:rsid w:val="00A40C8E"/>
    <w:rsid w:val="00A420B4"/>
    <w:rsid w:val="00A42381"/>
    <w:rsid w:val="00A427A9"/>
    <w:rsid w:val="00A42FD4"/>
    <w:rsid w:val="00A43D31"/>
    <w:rsid w:val="00A440C2"/>
    <w:rsid w:val="00A4551C"/>
    <w:rsid w:val="00A45954"/>
    <w:rsid w:val="00A46761"/>
    <w:rsid w:val="00A46764"/>
    <w:rsid w:val="00A4712F"/>
    <w:rsid w:val="00A47942"/>
    <w:rsid w:val="00A509E9"/>
    <w:rsid w:val="00A523C2"/>
    <w:rsid w:val="00A52CDA"/>
    <w:rsid w:val="00A53119"/>
    <w:rsid w:val="00A53506"/>
    <w:rsid w:val="00A5388E"/>
    <w:rsid w:val="00A5482E"/>
    <w:rsid w:val="00A54D17"/>
    <w:rsid w:val="00A55D81"/>
    <w:rsid w:val="00A568DA"/>
    <w:rsid w:val="00A57232"/>
    <w:rsid w:val="00A57F18"/>
    <w:rsid w:val="00A6021A"/>
    <w:rsid w:val="00A60395"/>
    <w:rsid w:val="00A609F4"/>
    <w:rsid w:val="00A61AC0"/>
    <w:rsid w:val="00A6272D"/>
    <w:rsid w:val="00A631D0"/>
    <w:rsid w:val="00A63245"/>
    <w:rsid w:val="00A6352F"/>
    <w:rsid w:val="00A642D8"/>
    <w:rsid w:val="00A6467A"/>
    <w:rsid w:val="00A64792"/>
    <w:rsid w:val="00A64BF3"/>
    <w:rsid w:val="00A652DA"/>
    <w:rsid w:val="00A65525"/>
    <w:rsid w:val="00A657D4"/>
    <w:rsid w:val="00A67C48"/>
    <w:rsid w:val="00A70649"/>
    <w:rsid w:val="00A706EB"/>
    <w:rsid w:val="00A70C4A"/>
    <w:rsid w:val="00A70DCD"/>
    <w:rsid w:val="00A712F6"/>
    <w:rsid w:val="00A7184A"/>
    <w:rsid w:val="00A71A36"/>
    <w:rsid w:val="00A73F83"/>
    <w:rsid w:val="00A74094"/>
    <w:rsid w:val="00A74382"/>
    <w:rsid w:val="00A7508B"/>
    <w:rsid w:val="00A750FA"/>
    <w:rsid w:val="00A7562C"/>
    <w:rsid w:val="00A75CAD"/>
    <w:rsid w:val="00A7645F"/>
    <w:rsid w:val="00A8026D"/>
    <w:rsid w:val="00A813B3"/>
    <w:rsid w:val="00A81D9A"/>
    <w:rsid w:val="00A81F0D"/>
    <w:rsid w:val="00A822C8"/>
    <w:rsid w:val="00A8274F"/>
    <w:rsid w:val="00A82E89"/>
    <w:rsid w:val="00A82F80"/>
    <w:rsid w:val="00A831EC"/>
    <w:rsid w:val="00A839E1"/>
    <w:rsid w:val="00A84C14"/>
    <w:rsid w:val="00A86226"/>
    <w:rsid w:val="00A86719"/>
    <w:rsid w:val="00A86E30"/>
    <w:rsid w:val="00A86EE9"/>
    <w:rsid w:val="00A86F72"/>
    <w:rsid w:val="00A875B4"/>
    <w:rsid w:val="00A906C1"/>
    <w:rsid w:val="00A90CA0"/>
    <w:rsid w:val="00A90D46"/>
    <w:rsid w:val="00A90FAB"/>
    <w:rsid w:val="00A9100E"/>
    <w:rsid w:val="00A912F2"/>
    <w:rsid w:val="00A920B7"/>
    <w:rsid w:val="00A92F09"/>
    <w:rsid w:val="00A94F14"/>
    <w:rsid w:val="00A952C6"/>
    <w:rsid w:val="00A95781"/>
    <w:rsid w:val="00A960E0"/>
    <w:rsid w:val="00A96238"/>
    <w:rsid w:val="00A9669A"/>
    <w:rsid w:val="00A967F9"/>
    <w:rsid w:val="00A96E07"/>
    <w:rsid w:val="00A971BC"/>
    <w:rsid w:val="00A9754E"/>
    <w:rsid w:val="00A978FE"/>
    <w:rsid w:val="00AA02DA"/>
    <w:rsid w:val="00AA1813"/>
    <w:rsid w:val="00AA1FE9"/>
    <w:rsid w:val="00AA210D"/>
    <w:rsid w:val="00AA303D"/>
    <w:rsid w:val="00AA4235"/>
    <w:rsid w:val="00AA5267"/>
    <w:rsid w:val="00AA5317"/>
    <w:rsid w:val="00AA5606"/>
    <w:rsid w:val="00AA64E0"/>
    <w:rsid w:val="00AA6A90"/>
    <w:rsid w:val="00AA6C89"/>
    <w:rsid w:val="00AA7997"/>
    <w:rsid w:val="00AB0732"/>
    <w:rsid w:val="00AB0752"/>
    <w:rsid w:val="00AB171E"/>
    <w:rsid w:val="00AB18F9"/>
    <w:rsid w:val="00AB221F"/>
    <w:rsid w:val="00AB2286"/>
    <w:rsid w:val="00AB2476"/>
    <w:rsid w:val="00AB2D11"/>
    <w:rsid w:val="00AB3286"/>
    <w:rsid w:val="00AB4B22"/>
    <w:rsid w:val="00AB4E7A"/>
    <w:rsid w:val="00AB564F"/>
    <w:rsid w:val="00AB5F56"/>
    <w:rsid w:val="00AB65FA"/>
    <w:rsid w:val="00AB65FD"/>
    <w:rsid w:val="00AB68AC"/>
    <w:rsid w:val="00AB760A"/>
    <w:rsid w:val="00AB7F19"/>
    <w:rsid w:val="00AC0919"/>
    <w:rsid w:val="00AC12E0"/>
    <w:rsid w:val="00AC22D2"/>
    <w:rsid w:val="00AC2589"/>
    <w:rsid w:val="00AC3270"/>
    <w:rsid w:val="00AC3813"/>
    <w:rsid w:val="00AC45D7"/>
    <w:rsid w:val="00AC4A24"/>
    <w:rsid w:val="00AC53ED"/>
    <w:rsid w:val="00AC7D79"/>
    <w:rsid w:val="00AD0359"/>
    <w:rsid w:val="00AD1335"/>
    <w:rsid w:val="00AD1BE4"/>
    <w:rsid w:val="00AD2D78"/>
    <w:rsid w:val="00AD2E3E"/>
    <w:rsid w:val="00AD2FEE"/>
    <w:rsid w:val="00AD45EA"/>
    <w:rsid w:val="00AD4CC3"/>
    <w:rsid w:val="00AD4DEF"/>
    <w:rsid w:val="00AD5AE3"/>
    <w:rsid w:val="00AD60F5"/>
    <w:rsid w:val="00AD6948"/>
    <w:rsid w:val="00AD6C10"/>
    <w:rsid w:val="00AD74BF"/>
    <w:rsid w:val="00AD7D30"/>
    <w:rsid w:val="00AE04EA"/>
    <w:rsid w:val="00AE06CF"/>
    <w:rsid w:val="00AE0BE7"/>
    <w:rsid w:val="00AE1496"/>
    <w:rsid w:val="00AE1646"/>
    <w:rsid w:val="00AE2056"/>
    <w:rsid w:val="00AE29CA"/>
    <w:rsid w:val="00AE309F"/>
    <w:rsid w:val="00AE420B"/>
    <w:rsid w:val="00AE4D94"/>
    <w:rsid w:val="00AE4F0E"/>
    <w:rsid w:val="00AE5BF2"/>
    <w:rsid w:val="00AE6734"/>
    <w:rsid w:val="00AE7041"/>
    <w:rsid w:val="00AE7205"/>
    <w:rsid w:val="00AE79C8"/>
    <w:rsid w:val="00AE7CD4"/>
    <w:rsid w:val="00AF1985"/>
    <w:rsid w:val="00AF203C"/>
    <w:rsid w:val="00AF31D1"/>
    <w:rsid w:val="00AF36FD"/>
    <w:rsid w:val="00AF3BE3"/>
    <w:rsid w:val="00AF3E8E"/>
    <w:rsid w:val="00AF3F69"/>
    <w:rsid w:val="00AF57E5"/>
    <w:rsid w:val="00AF6333"/>
    <w:rsid w:val="00AF6F70"/>
    <w:rsid w:val="00AF7062"/>
    <w:rsid w:val="00AF718F"/>
    <w:rsid w:val="00B00B92"/>
    <w:rsid w:val="00B017EA"/>
    <w:rsid w:val="00B02A3D"/>
    <w:rsid w:val="00B036CB"/>
    <w:rsid w:val="00B0395A"/>
    <w:rsid w:val="00B03FE7"/>
    <w:rsid w:val="00B046A8"/>
    <w:rsid w:val="00B0540A"/>
    <w:rsid w:val="00B059FC"/>
    <w:rsid w:val="00B0689F"/>
    <w:rsid w:val="00B068E7"/>
    <w:rsid w:val="00B070CC"/>
    <w:rsid w:val="00B10BB9"/>
    <w:rsid w:val="00B10D11"/>
    <w:rsid w:val="00B116C0"/>
    <w:rsid w:val="00B117EF"/>
    <w:rsid w:val="00B1192B"/>
    <w:rsid w:val="00B12207"/>
    <w:rsid w:val="00B12641"/>
    <w:rsid w:val="00B139F6"/>
    <w:rsid w:val="00B141CE"/>
    <w:rsid w:val="00B14B74"/>
    <w:rsid w:val="00B14E94"/>
    <w:rsid w:val="00B15CCF"/>
    <w:rsid w:val="00B16C97"/>
    <w:rsid w:val="00B2044D"/>
    <w:rsid w:val="00B204D8"/>
    <w:rsid w:val="00B205C2"/>
    <w:rsid w:val="00B213CA"/>
    <w:rsid w:val="00B2180E"/>
    <w:rsid w:val="00B225B7"/>
    <w:rsid w:val="00B239A1"/>
    <w:rsid w:val="00B24D0A"/>
    <w:rsid w:val="00B25982"/>
    <w:rsid w:val="00B27082"/>
    <w:rsid w:val="00B27F2E"/>
    <w:rsid w:val="00B3006B"/>
    <w:rsid w:val="00B3149A"/>
    <w:rsid w:val="00B319DF"/>
    <w:rsid w:val="00B31BD4"/>
    <w:rsid w:val="00B31EF9"/>
    <w:rsid w:val="00B32918"/>
    <w:rsid w:val="00B33A6D"/>
    <w:rsid w:val="00B340FF"/>
    <w:rsid w:val="00B35275"/>
    <w:rsid w:val="00B3549E"/>
    <w:rsid w:val="00B35F68"/>
    <w:rsid w:val="00B36B77"/>
    <w:rsid w:val="00B36C38"/>
    <w:rsid w:val="00B36EDA"/>
    <w:rsid w:val="00B37735"/>
    <w:rsid w:val="00B40AB0"/>
    <w:rsid w:val="00B41170"/>
    <w:rsid w:val="00B42658"/>
    <w:rsid w:val="00B42762"/>
    <w:rsid w:val="00B42FDE"/>
    <w:rsid w:val="00B43E8A"/>
    <w:rsid w:val="00B44332"/>
    <w:rsid w:val="00B44481"/>
    <w:rsid w:val="00B4551F"/>
    <w:rsid w:val="00B45E30"/>
    <w:rsid w:val="00B46BA5"/>
    <w:rsid w:val="00B5071C"/>
    <w:rsid w:val="00B50DEB"/>
    <w:rsid w:val="00B510B3"/>
    <w:rsid w:val="00B51DFC"/>
    <w:rsid w:val="00B54F42"/>
    <w:rsid w:val="00B564E6"/>
    <w:rsid w:val="00B5650D"/>
    <w:rsid w:val="00B5771B"/>
    <w:rsid w:val="00B57CB4"/>
    <w:rsid w:val="00B57CEB"/>
    <w:rsid w:val="00B6029E"/>
    <w:rsid w:val="00B6110B"/>
    <w:rsid w:val="00B6145C"/>
    <w:rsid w:val="00B61636"/>
    <w:rsid w:val="00B62CC9"/>
    <w:rsid w:val="00B65D4E"/>
    <w:rsid w:val="00B65F58"/>
    <w:rsid w:val="00B66126"/>
    <w:rsid w:val="00B6782E"/>
    <w:rsid w:val="00B6794F"/>
    <w:rsid w:val="00B67B48"/>
    <w:rsid w:val="00B67CB2"/>
    <w:rsid w:val="00B702D5"/>
    <w:rsid w:val="00B7087A"/>
    <w:rsid w:val="00B70A29"/>
    <w:rsid w:val="00B70C4F"/>
    <w:rsid w:val="00B718CD"/>
    <w:rsid w:val="00B71B40"/>
    <w:rsid w:val="00B71EF3"/>
    <w:rsid w:val="00B71F7C"/>
    <w:rsid w:val="00B7237B"/>
    <w:rsid w:val="00B727BD"/>
    <w:rsid w:val="00B72EFD"/>
    <w:rsid w:val="00B73B9C"/>
    <w:rsid w:val="00B74A76"/>
    <w:rsid w:val="00B74BAC"/>
    <w:rsid w:val="00B7547E"/>
    <w:rsid w:val="00B75C3C"/>
    <w:rsid w:val="00B77C8E"/>
    <w:rsid w:val="00B77FB9"/>
    <w:rsid w:val="00B77FBF"/>
    <w:rsid w:val="00B8008B"/>
    <w:rsid w:val="00B8321E"/>
    <w:rsid w:val="00B83D14"/>
    <w:rsid w:val="00B84932"/>
    <w:rsid w:val="00B851DA"/>
    <w:rsid w:val="00B859EF"/>
    <w:rsid w:val="00B86D40"/>
    <w:rsid w:val="00B90004"/>
    <w:rsid w:val="00B905BC"/>
    <w:rsid w:val="00B913D6"/>
    <w:rsid w:val="00B91C48"/>
    <w:rsid w:val="00B91C83"/>
    <w:rsid w:val="00B91E81"/>
    <w:rsid w:val="00B92EA0"/>
    <w:rsid w:val="00B93457"/>
    <w:rsid w:val="00B93679"/>
    <w:rsid w:val="00B937CC"/>
    <w:rsid w:val="00B940A5"/>
    <w:rsid w:val="00B9649F"/>
    <w:rsid w:val="00B96572"/>
    <w:rsid w:val="00B9779C"/>
    <w:rsid w:val="00BA0836"/>
    <w:rsid w:val="00BA0EC5"/>
    <w:rsid w:val="00BA0F13"/>
    <w:rsid w:val="00BA1687"/>
    <w:rsid w:val="00BA217A"/>
    <w:rsid w:val="00BA2658"/>
    <w:rsid w:val="00BA3355"/>
    <w:rsid w:val="00BA3735"/>
    <w:rsid w:val="00BA3871"/>
    <w:rsid w:val="00BA4249"/>
    <w:rsid w:val="00BA56BD"/>
    <w:rsid w:val="00BA6095"/>
    <w:rsid w:val="00BA6982"/>
    <w:rsid w:val="00BA6D77"/>
    <w:rsid w:val="00BA70A9"/>
    <w:rsid w:val="00BA7EF3"/>
    <w:rsid w:val="00BB04CB"/>
    <w:rsid w:val="00BB0BB9"/>
    <w:rsid w:val="00BB15CF"/>
    <w:rsid w:val="00BB1D47"/>
    <w:rsid w:val="00BB1E11"/>
    <w:rsid w:val="00BB2166"/>
    <w:rsid w:val="00BB353E"/>
    <w:rsid w:val="00BB4A25"/>
    <w:rsid w:val="00BB5081"/>
    <w:rsid w:val="00BB5410"/>
    <w:rsid w:val="00BB6541"/>
    <w:rsid w:val="00BB6C36"/>
    <w:rsid w:val="00BB745E"/>
    <w:rsid w:val="00BB74E3"/>
    <w:rsid w:val="00BC0029"/>
    <w:rsid w:val="00BC20DF"/>
    <w:rsid w:val="00BC28B5"/>
    <w:rsid w:val="00BC3AF6"/>
    <w:rsid w:val="00BC44FE"/>
    <w:rsid w:val="00BC53FF"/>
    <w:rsid w:val="00BC5818"/>
    <w:rsid w:val="00BC6323"/>
    <w:rsid w:val="00BC697A"/>
    <w:rsid w:val="00BC73CE"/>
    <w:rsid w:val="00BC74EF"/>
    <w:rsid w:val="00BD490E"/>
    <w:rsid w:val="00BD4B3E"/>
    <w:rsid w:val="00BD6136"/>
    <w:rsid w:val="00BD64D3"/>
    <w:rsid w:val="00BD699F"/>
    <w:rsid w:val="00BD7370"/>
    <w:rsid w:val="00BD7499"/>
    <w:rsid w:val="00BD75CA"/>
    <w:rsid w:val="00BE0DA6"/>
    <w:rsid w:val="00BE0E88"/>
    <w:rsid w:val="00BE154E"/>
    <w:rsid w:val="00BE1D8D"/>
    <w:rsid w:val="00BE26B2"/>
    <w:rsid w:val="00BE313F"/>
    <w:rsid w:val="00BE32CA"/>
    <w:rsid w:val="00BE340D"/>
    <w:rsid w:val="00BE4125"/>
    <w:rsid w:val="00BE42E4"/>
    <w:rsid w:val="00BE475D"/>
    <w:rsid w:val="00BE5144"/>
    <w:rsid w:val="00BE5E0E"/>
    <w:rsid w:val="00BE60FB"/>
    <w:rsid w:val="00BE753C"/>
    <w:rsid w:val="00BE7780"/>
    <w:rsid w:val="00BE7BB2"/>
    <w:rsid w:val="00BE7E54"/>
    <w:rsid w:val="00BF0ACF"/>
    <w:rsid w:val="00BF0F8F"/>
    <w:rsid w:val="00BF1217"/>
    <w:rsid w:val="00BF162F"/>
    <w:rsid w:val="00BF1C1F"/>
    <w:rsid w:val="00BF1DB3"/>
    <w:rsid w:val="00BF2980"/>
    <w:rsid w:val="00BF2D54"/>
    <w:rsid w:val="00BF47C7"/>
    <w:rsid w:val="00BF4B54"/>
    <w:rsid w:val="00BF586A"/>
    <w:rsid w:val="00BF5D4C"/>
    <w:rsid w:val="00BF6D8B"/>
    <w:rsid w:val="00BF70F1"/>
    <w:rsid w:val="00BF7221"/>
    <w:rsid w:val="00BF7BB0"/>
    <w:rsid w:val="00C00B26"/>
    <w:rsid w:val="00C012C8"/>
    <w:rsid w:val="00C026D7"/>
    <w:rsid w:val="00C0375F"/>
    <w:rsid w:val="00C04554"/>
    <w:rsid w:val="00C050AF"/>
    <w:rsid w:val="00C05478"/>
    <w:rsid w:val="00C0691B"/>
    <w:rsid w:val="00C06C0C"/>
    <w:rsid w:val="00C06CDF"/>
    <w:rsid w:val="00C07945"/>
    <w:rsid w:val="00C079E0"/>
    <w:rsid w:val="00C10E4A"/>
    <w:rsid w:val="00C1140A"/>
    <w:rsid w:val="00C11524"/>
    <w:rsid w:val="00C132BC"/>
    <w:rsid w:val="00C13C61"/>
    <w:rsid w:val="00C15170"/>
    <w:rsid w:val="00C15942"/>
    <w:rsid w:val="00C1641F"/>
    <w:rsid w:val="00C16740"/>
    <w:rsid w:val="00C16DED"/>
    <w:rsid w:val="00C174F0"/>
    <w:rsid w:val="00C178F3"/>
    <w:rsid w:val="00C20540"/>
    <w:rsid w:val="00C2138B"/>
    <w:rsid w:val="00C21FF5"/>
    <w:rsid w:val="00C22294"/>
    <w:rsid w:val="00C2396C"/>
    <w:rsid w:val="00C23CBC"/>
    <w:rsid w:val="00C2752B"/>
    <w:rsid w:val="00C27859"/>
    <w:rsid w:val="00C27B61"/>
    <w:rsid w:val="00C30093"/>
    <w:rsid w:val="00C3067D"/>
    <w:rsid w:val="00C30D04"/>
    <w:rsid w:val="00C31110"/>
    <w:rsid w:val="00C317CD"/>
    <w:rsid w:val="00C31DCA"/>
    <w:rsid w:val="00C32FCE"/>
    <w:rsid w:val="00C33167"/>
    <w:rsid w:val="00C33874"/>
    <w:rsid w:val="00C33AC8"/>
    <w:rsid w:val="00C35001"/>
    <w:rsid w:val="00C36E8B"/>
    <w:rsid w:val="00C36F8A"/>
    <w:rsid w:val="00C370EC"/>
    <w:rsid w:val="00C40D16"/>
    <w:rsid w:val="00C41ACC"/>
    <w:rsid w:val="00C41B8A"/>
    <w:rsid w:val="00C41EC0"/>
    <w:rsid w:val="00C423C9"/>
    <w:rsid w:val="00C4464E"/>
    <w:rsid w:val="00C44727"/>
    <w:rsid w:val="00C45845"/>
    <w:rsid w:val="00C4645C"/>
    <w:rsid w:val="00C4658C"/>
    <w:rsid w:val="00C471A9"/>
    <w:rsid w:val="00C47589"/>
    <w:rsid w:val="00C47F96"/>
    <w:rsid w:val="00C504C9"/>
    <w:rsid w:val="00C508C7"/>
    <w:rsid w:val="00C50B69"/>
    <w:rsid w:val="00C512CC"/>
    <w:rsid w:val="00C51FBA"/>
    <w:rsid w:val="00C52CA7"/>
    <w:rsid w:val="00C52FDD"/>
    <w:rsid w:val="00C531E6"/>
    <w:rsid w:val="00C5337E"/>
    <w:rsid w:val="00C53D84"/>
    <w:rsid w:val="00C540CC"/>
    <w:rsid w:val="00C540EE"/>
    <w:rsid w:val="00C54129"/>
    <w:rsid w:val="00C544E8"/>
    <w:rsid w:val="00C55540"/>
    <w:rsid w:val="00C56B13"/>
    <w:rsid w:val="00C577C6"/>
    <w:rsid w:val="00C622BE"/>
    <w:rsid w:val="00C625B6"/>
    <w:rsid w:val="00C627BF"/>
    <w:rsid w:val="00C62ABE"/>
    <w:rsid w:val="00C64879"/>
    <w:rsid w:val="00C65632"/>
    <w:rsid w:val="00C662D5"/>
    <w:rsid w:val="00C66362"/>
    <w:rsid w:val="00C666AA"/>
    <w:rsid w:val="00C66BA2"/>
    <w:rsid w:val="00C66E64"/>
    <w:rsid w:val="00C70A7A"/>
    <w:rsid w:val="00C72078"/>
    <w:rsid w:val="00C72A48"/>
    <w:rsid w:val="00C73034"/>
    <w:rsid w:val="00C73134"/>
    <w:rsid w:val="00C73723"/>
    <w:rsid w:val="00C73BCC"/>
    <w:rsid w:val="00C73F4B"/>
    <w:rsid w:val="00C74EC0"/>
    <w:rsid w:val="00C754BC"/>
    <w:rsid w:val="00C760CE"/>
    <w:rsid w:val="00C760E7"/>
    <w:rsid w:val="00C76DC6"/>
    <w:rsid w:val="00C7707A"/>
    <w:rsid w:val="00C77EC8"/>
    <w:rsid w:val="00C800B1"/>
    <w:rsid w:val="00C8088A"/>
    <w:rsid w:val="00C80F31"/>
    <w:rsid w:val="00C81196"/>
    <w:rsid w:val="00C829C8"/>
    <w:rsid w:val="00C82E18"/>
    <w:rsid w:val="00C856A4"/>
    <w:rsid w:val="00C85905"/>
    <w:rsid w:val="00C85ADB"/>
    <w:rsid w:val="00C86851"/>
    <w:rsid w:val="00C87075"/>
    <w:rsid w:val="00C8777F"/>
    <w:rsid w:val="00C87DC8"/>
    <w:rsid w:val="00C87F54"/>
    <w:rsid w:val="00C90B84"/>
    <w:rsid w:val="00C9200F"/>
    <w:rsid w:val="00C925A4"/>
    <w:rsid w:val="00C92655"/>
    <w:rsid w:val="00C92D91"/>
    <w:rsid w:val="00C92F05"/>
    <w:rsid w:val="00C937DA"/>
    <w:rsid w:val="00C93B90"/>
    <w:rsid w:val="00C944EA"/>
    <w:rsid w:val="00C946DB"/>
    <w:rsid w:val="00C9517D"/>
    <w:rsid w:val="00C95E21"/>
    <w:rsid w:val="00C96AFE"/>
    <w:rsid w:val="00C97A07"/>
    <w:rsid w:val="00CA01AE"/>
    <w:rsid w:val="00CA085C"/>
    <w:rsid w:val="00CA10CC"/>
    <w:rsid w:val="00CA12F6"/>
    <w:rsid w:val="00CA189F"/>
    <w:rsid w:val="00CA1AED"/>
    <w:rsid w:val="00CA1B0A"/>
    <w:rsid w:val="00CA209C"/>
    <w:rsid w:val="00CA20EA"/>
    <w:rsid w:val="00CA226F"/>
    <w:rsid w:val="00CA2BDE"/>
    <w:rsid w:val="00CA2C8A"/>
    <w:rsid w:val="00CA2D47"/>
    <w:rsid w:val="00CA3AEB"/>
    <w:rsid w:val="00CA3EBE"/>
    <w:rsid w:val="00CA4778"/>
    <w:rsid w:val="00CA4DD7"/>
    <w:rsid w:val="00CA53DD"/>
    <w:rsid w:val="00CA5655"/>
    <w:rsid w:val="00CA595B"/>
    <w:rsid w:val="00CA5ECF"/>
    <w:rsid w:val="00CA6200"/>
    <w:rsid w:val="00CA633F"/>
    <w:rsid w:val="00CA7A8B"/>
    <w:rsid w:val="00CA7A9A"/>
    <w:rsid w:val="00CA7D24"/>
    <w:rsid w:val="00CB0292"/>
    <w:rsid w:val="00CB03D5"/>
    <w:rsid w:val="00CB1844"/>
    <w:rsid w:val="00CB2C06"/>
    <w:rsid w:val="00CB2DF8"/>
    <w:rsid w:val="00CB3138"/>
    <w:rsid w:val="00CB3B2C"/>
    <w:rsid w:val="00CB42B6"/>
    <w:rsid w:val="00CB4809"/>
    <w:rsid w:val="00CB5528"/>
    <w:rsid w:val="00CB571C"/>
    <w:rsid w:val="00CB6E3B"/>
    <w:rsid w:val="00CB75BD"/>
    <w:rsid w:val="00CB7FA6"/>
    <w:rsid w:val="00CC045D"/>
    <w:rsid w:val="00CC0CA8"/>
    <w:rsid w:val="00CC14B7"/>
    <w:rsid w:val="00CC1AD7"/>
    <w:rsid w:val="00CC5596"/>
    <w:rsid w:val="00CC6B48"/>
    <w:rsid w:val="00CC70B4"/>
    <w:rsid w:val="00CD0529"/>
    <w:rsid w:val="00CD07DD"/>
    <w:rsid w:val="00CD3F0A"/>
    <w:rsid w:val="00CD5AD4"/>
    <w:rsid w:val="00CD5E23"/>
    <w:rsid w:val="00CD68D8"/>
    <w:rsid w:val="00CD6C01"/>
    <w:rsid w:val="00CD6CC8"/>
    <w:rsid w:val="00CD6DBB"/>
    <w:rsid w:val="00CD6F40"/>
    <w:rsid w:val="00CD70B2"/>
    <w:rsid w:val="00CD73C9"/>
    <w:rsid w:val="00CD7560"/>
    <w:rsid w:val="00CE01AB"/>
    <w:rsid w:val="00CE03C5"/>
    <w:rsid w:val="00CE0583"/>
    <w:rsid w:val="00CE0F58"/>
    <w:rsid w:val="00CE11E0"/>
    <w:rsid w:val="00CE27ED"/>
    <w:rsid w:val="00CE2A2C"/>
    <w:rsid w:val="00CE35D3"/>
    <w:rsid w:val="00CE38AE"/>
    <w:rsid w:val="00CE402F"/>
    <w:rsid w:val="00CE48EC"/>
    <w:rsid w:val="00CE5C68"/>
    <w:rsid w:val="00CE6563"/>
    <w:rsid w:val="00CE750A"/>
    <w:rsid w:val="00CE7816"/>
    <w:rsid w:val="00CE7D28"/>
    <w:rsid w:val="00CF14B5"/>
    <w:rsid w:val="00CF1C52"/>
    <w:rsid w:val="00CF2347"/>
    <w:rsid w:val="00CF25D6"/>
    <w:rsid w:val="00CF32EB"/>
    <w:rsid w:val="00CF337E"/>
    <w:rsid w:val="00CF3818"/>
    <w:rsid w:val="00CF38F1"/>
    <w:rsid w:val="00CF3C97"/>
    <w:rsid w:val="00CF4F08"/>
    <w:rsid w:val="00CF54B8"/>
    <w:rsid w:val="00CF5F5A"/>
    <w:rsid w:val="00CF63F1"/>
    <w:rsid w:val="00CF7754"/>
    <w:rsid w:val="00CF7853"/>
    <w:rsid w:val="00CF78C3"/>
    <w:rsid w:val="00CF7FE4"/>
    <w:rsid w:val="00D0083D"/>
    <w:rsid w:val="00D00B44"/>
    <w:rsid w:val="00D00B5B"/>
    <w:rsid w:val="00D010A9"/>
    <w:rsid w:val="00D011A3"/>
    <w:rsid w:val="00D0145B"/>
    <w:rsid w:val="00D01BA4"/>
    <w:rsid w:val="00D024DD"/>
    <w:rsid w:val="00D027BA"/>
    <w:rsid w:val="00D02A7E"/>
    <w:rsid w:val="00D031CE"/>
    <w:rsid w:val="00D032A8"/>
    <w:rsid w:val="00D03C51"/>
    <w:rsid w:val="00D04E9F"/>
    <w:rsid w:val="00D07282"/>
    <w:rsid w:val="00D0747E"/>
    <w:rsid w:val="00D07DFD"/>
    <w:rsid w:val="00D07F87"/>
    <w:rsid w:val="00D100FF"/>
    <w:rsid w:val="00D10306"/>
    <w:rsid w:val="00D118BB"/>
    <w:rsid w:val="00D11B22"/>
    <w:rsid w:val="00D12BA6"/>
    <w:rsid w:val="00D12BE9"/>
    <w:rsid w:val="00D14393"/>
    <w:rsid w:val="00D1511E"/>
    <w:rsid w:val="00D15EF5"/>
    <w:rsid w:val="00D1665B"/>
    <w:rsid w:val="00D1712D"/>
    <w:rsid w:val="00D17D13"/>
    <w:rsid w:val="00D21604"/>
    <w:rsid w:val="00D22F31"/>
    <w:rsid w:val="00D22F40"/>
    <w:rsid w:val="00D23477"/>
    <w:rsid w:val="00D239E3"/>
    <w:rsid w:val="00D246ED"/>
    <w:rsid w:val="00D24D89"/>
    <w:rsid w:val="00D24F1F"/>
    <w:rsid w:val="00D25009"/>
    <w:rsid w:val="00D255BC"/>
    <w:rsid w:val="00D25F2A"/>
    <w:rsid w:val="00D2725B"/>
    <w:rsid w:val="00D27FCF"/>
    <w:rsid w:val="00D30130"/>
    <w:rsid w:val="00D308CB"/>
    <w:rsid w:val="00D30BD4"/>
    <w:rsid w:val="00D315DB"/>
    <w:rsid w:val="00D318A4"/>
    <w:rsid w:val="00D323C5"/>
    <w:rsid w:val="00D34490"/>
    <w:rsid w:val="00D34DB7"/>
    <w:rsid w:val="00D35248"/>
    <w:rsid w:val="00D37A53"/>
    <w:rsid w:val="00D40FD0"/>
    <w:rsid w:val="00D4236C"/>
    <w:rsid w:val="00D42779"/>
    <w:rsid w:val="00D43F66"/>
    <w:rsid w:val="00D456FA"/>
    <w:rsid w:val="00D458D5"/>
    <w:rsid w:val="00D472B2"/>
    <w:rsid w:val="00D5099D"/>
    <w:rsid w:val="00D51071"/>
    <w:rsid w:val="00D51266"/>
    <w:rsid w:val="00D5149D"/>
    <w:rsid w:val="00D51D1C"/>
    <w:rsid w:val="00D525DA"/>
    <w:rsid w:val="00D52663"/>
    <w:rsid w:val="00D53D40"/>
    <w:rsid w:val="00D540CB"/>
    <w:rsid w:val="00D542F4"/>
    <w:rsid w:val="00D5460E"/>
    <w:rsid w:val="00D54713"/>
    <w:rsid w:val="00D549B7"/>
    <w:rsid w:val="00D55CFF"/>
    <w:rsid w:val="00D56354"/>
    <w:rsid w:val="00D61B2A"/>
    <w:rsid w:val="00D634CC"/>
    <w:rsid w:val="00D6473F"/>
    <w:rsid w:val="00D64A4A"/>
    <w:rsid w:val="00D64FB3"/>
    <w:rsid w:val="00D65B23"/>
    <w:rsid w:val="00D65C41"/>
    <w:rsid w:val="00D66132"/>
    <w:rsid w:val="00D666BC"/>
    <w:rsid w:val="00D6693B"/>
    <w:rsid w:val="00D66F42"/>
    <w:rsid w:val="00D67AF4"/>
    <w:rsid w:val="00D67DF7"/>
    <w:rsid w:val="00D728F6"/>
    <w:rsid w:val="00D73193"/>
    <w:rsid w:val="00D74837"/>
    <w:rsid w:val="00D75442"/>
    <w:rsid w:val="00D754C3"/>
    <w:rsid w:val="00D758DB"/>
    <w:rsid w:val="00D763ED"/>
    <w:rsid w:val="00D76564"/>
    <w:rsid w:val="00D766A1"/>
    <w:rsid w:val="00D77AA9"/>
    <w:rsid w:val="00D80164"/>
    <w:rsid w:val="00D8099D"/>
    <w:rsid w:val="00D81CD9"/>
    <w:rsid w:val="00D82A6E"/>
    <w:rsid w:val="00D830C8"/>
    <w:rsid w:val="00D86153"/>
    <w:rsid w:val="00D86598"/>
    <w:rsid w:val="00D871D8"/>
    <w:rsid w:val="00D87B12"/>
    <w:rsid w:val="00D910D9"/>
    <w:rsid w:val="00D91156"/>
    <w:rsid w:val="00D91C9C"/>
    <w:rsid w:val="00D9241A"/>
    <w:rsid w:val="00D9277E"/>
    <w:rsid w:val="00D929FB"/>
    <w:rsid w:val="00D92BB9"/>
    <w:rsid w:val="00D93117"/>
    <w:rsid w:val="00D93129"/>
    <w:rsid w:val="00D9333D"/>
    <w:rsid w:val="00D9381D"/>
    <w:rsid w:val="00D943FF"/>
    <w:rsid w:val="00D9665E"/>
    <w:rsid w:val="00D9705E"/>
    <w:rsid w:val="00D972B2"/>
    <w:rsid w:val="00D9738A"/>
    <w:rsid w:val="00D97B94"/>
    <w:rsid w:val="00DA16CF"/>
    <w:rsid w:val="00DA1CC9"/>
    <w:rsid w:val="00DA2066"/>
    <w:rsid w:val="00DA212F"/>
    <w:rsid w:val="00DA2529"/>
    <w:rsid w:val="00DA2DD2"/>
    <w:rsid w:val="00DA2DEF"/>
    <w:rsid w:val="00DA429E"/>
    <w:rsid w:val="00DA44A8"/>
    <w:rsid w:val="00DA4709"/>
    <w:rsid w:val="00DA50A1"/>
    <w:rsid w:val="00DA63BB"/>
    <w:rsid w:val="00DA666E"/>
    <w:rsid w:val="00DA66A0"/>
    <w:rsid w:val="00DA66D4"/>
    <w:rsid w:val="00DA670D"/>
    <w:rsid w:val="00DA6957"/>
    <w:rsid w:val="00DA6A44"/>
    <w:rsid w:val="00DA76FF"/>
    <w:rsid w:val="00DB0BD5"/>
    <w:rsid w:val="00DB19AD"/>
    <w:rsid w:val="00DB2E0D"/>
    <w:rsid w:val="00DB2F84"/>
    <w:rsid w:val="00DB440D"/>
    <w:rsid w:val="00DB59D9"/>
    <w:rsid w:val="00DB5A74"/>
    <w:rsid w:val="00DB61C3"/>
    <w:rsid w:val="00DB7238"/>
    <w:rsid w:val="00DB7FC5"/>
    <w:rsid w:val="00DC0490"/>
    <w:rsid w:val="00DC0CA1"/>
    <w:rsid w:val="00DC167C"/>
    <w:rsid w:val="00DC2DAF"/>
    <w:rsid w:val="00DC2F4C"/>
    <w:rsid w:val="00DC3C8D"/>
    <w:rsid w:val="00DC55AE"/>
    <w:rsid w:val="00DC5996"/>
    <w:rsid w:val="00DC60B5"/>
    <w:rsid w:val="00DC7C8F"/>
    <w:rsid w:val="00DD1D96"/>
    <w:rsid w:val="00DD2EC1"/>
    <w:rsid w:val="00DD2FBB"/>
    <w:rsid w:val="00DD31E0"/>
    <w:rsid w:val="00DD370D"/>
    <w:rsid w:val="00DD3B6B"/>
    <w:rsid w:val="00DD3E30"/>
    <w:rsid w:val="00DD482A"/>
    <w:rsid w:val="00DD525E"/>
    <w:rsid w:val="00DD56B2"/>
    <w:rsid w:val="00DD5D4B"/>
    <w:rsid w:val="00DD6801"/>
    <w:rsid w:val="00DD7133"/>
    <w:rsid w:val="00DE243F"/>
    <w:rsid w:val="00DE2A5E"/>
    <w:rsid w:val="00DE366A"/>
    <w:rsid w:val="00DE3E3C"/>
    <w:rsid w:val="00DE447F"/>
    <w:rsid w:val="00DE4807"/>
    <w:rsid w:val="00DE483E"/>
    <w:rsid w:val="00DE4E77"/>
    <w:rsid w:val="00DE5855"/>
    <w:rsid w:val="00DE642D"/>
    <w:rsid w:val="00DE6E70"/>
    <w:rsid w:val="00DE7394"/>
    <w:rsid w:val="00DE7C9D"/>
    <w:rsid w:val="00DE7F4A"/>
    <w:rsid w:val="00DE7FE2"/>
    <w:rsid w:val="00DF066C"/>
    <w:rsid w:val="00DF0976"/>
    <w:rsid w:val="00DF0C15"/>
    <w:rsid w:val="00DF0F00"/>
    <w:rsid w:val="00DF486D"/>
    <w:rsid w:val="00DF4B0D"/>
    <w:rsid w:val="00DF4D25"/>
    <w:rsid w:val="00DF586D"/>
    <w:rsid w:val="00DF58A2"/>
    <w:rsid w:val="00DF5D87"/>
    <w:rsid w:val="00DF6A2E"/>
    <w:rsid w:val="00DF73B8"/>
    <w:rsid w:val="00DF7AE3"/>
    <w:rsid w:val="00E01383"/>
    <w:rsid w:val="00E01A07"/>
    <w:rsid w:val="00E02086"/>
    <w:rsid w:val="00E022BC"/>
    <w:rsid w:val="00E03097"/>
    <w:rsid w:val="00E03DEE"/>
    <w:rsid w:val="00E05518"/>
    <w:rsid w:val="00E055D1"/>
    <w:rsid w:val="00E05A88"/>
    <w:rsid w:val="00E060D4"/>
    <w:rsid w:val="00E07672"/>
    <w:rsid w:val="00E079FE"/>
    <w:rsid w:val="00E103ED"/>
    <w:rsid w:val="00E10768"/>
    <w:rsid w:val="00E10A4D"/>
    <w:rsid w:val="00E10DD3"/>
    <w:rsid w:val="00E11778"/>
    <w:rsid w:val="00E11B92"/>
    <w:rsid w:val="00E12CDC"/>
    <w:rsid w:val="00E137C7"/>
    <w:rsid w:val="00E1507F"/>
    <w:rsid w:val="00E1631F"/>
    <w:rsid w:val="00E165D0"/>
    <w:rsid w:val="00E166F2"/>
    <w:rsid w:val="00E16C1E"/>
    <w:rsid w:val="00E16FAA"/>
    <w:rsid w:val="00E1739D"/>
    <w:rsid w:val="00E17616"/>
    <w:rsid w:val="00E17D85"/>
    <w:rsid w:val="00E207CC"/>
    <w:rsid w:val="00E20E9F"/>
    <w:rsid w:val="00E20FDD"/>
    <w:rsid w:val="00E21574"/>
    <w:rsid w:val="00E21F9A"/>
    <w:rsid w:val="00E22033"/>
    <w:rsid w:val="00E2211B"/>
    <w:rsid w:val="00E22564"/>
    <w:rsid w:val="00E2305C"/>
    <w:rsid w:val="00E23567"/>
    <w:rsid w:val="00E23956"/>
    <w:rsid w:val="00E23E9C"/>
    <w:rsid w:val="00E26897"/>
    <w:rsid w:val="00E273C9"/>
    <w:rsid w:val="00E27685"/>
    <w:rsid w:val="00E30FBB"/>
    <w:rsid w:val="00E313DA"/>
    <w:rsid w:val="00E31A52"/>
    <w:rsid w:val="00E3299E"/>
    <w:rsid w:val="00E33173"/>
    <w:rsid w:val="00E338D6"/>
    <w:rsid w:val="00E33A29"/>
    <w:rsid w:val="00E35785"/>
    <w:rsid w:val="00E360DD"/>
    <w:rsid w:val="00E375D1"/>
    <w:rsid w:val="00E402F5"/>
    <w:rsid w:val="00E4030B"/>
    <w:rsid w:val="00E418A3"/>
    <w:rsid w:val="00E41923"/>
    <w:rsid w:val="00E42BEA"/>
    <w:rsid w:val="00E42DC6"/>
    <w:rsid w:val="00E43BC1"/>
    <w:rsid w:val="00E44137"/>
    <w:rsid w:val="00E443E6"/>
    <w:rsid w:val="00E44C7B"/>
    <w:rsid w:val="00E451E4"/>
    <w:rsid w:val="00E452AD"/>
    <w:rsid w:val="00E46A89"/>
    <w:rsid w:val="00E47683"/>
    <w:rsid w:val="00E47EA7"/>
    <w:rsid w:val="00E50538"/>
    <w:rsid w:val="00E505C4"/>
    <w:rsid w:val="00E51DE1"/>
    <w:rsid w:val="00E525D4"/>
    <w:rsid w:val="00E5321F"/>
    <w:rsid w:val="00E54567"/>
    <w:rsid w:val="00E54604"/>
    <w:rsid w:val="00E55112"/>
    <w:rsid w:val="00E56F29"/>
    <w:rsid w:val="00E57428"/>
    <w:rsid w:val="00E605F7"/>
    <w:rsid w:val="00E60B2C"/>
    <w:rsid w:val="00E612B9"/>
    <w:rsid w:val="00E62A9C"/>
    <w:rsid w:val="00E62B24"/>
    <w:rsid w:val="00E6457E"/>
    <w:rsid w:val="00E64DC7"/>
    <w:rsid w:val="00E650D2"/>
    <w:rsid w:val="00E6562D"/>
    <w:rsid w:val="00E6619D"/>
    <w:rsid w:val="00E666FD"/>
    <w:rsid w:val="00E66D04"/>
    <w:rsid w:val="00E677F8"/>
    <w:rsid w:val="00E71EBD"/>
    <w:rsid w:val="00E72518"/>
    <w:rsid w:val="00E73218"/>
    <w:rsid w:val="00E74407"/>
    <w:rsid w:val="00E746C3"/>
    <w:rsid w:val="00E75301"/>
    <w:rsid w:val="00E7542B"/>
    <w:rsid w:val="00E755EF"/>
    <w:rsid w:val="00E757B1"/>
    <w:rsid w:val="00E75825"/>
    <w:rsid w:val="00E75978"/>
    <w:rsid w:val="00E75CBB"/>
    <w:rsid w:val="00E76AF8"/>
    <w:rsid w:val="00E76BC3"/>
    <w:rsid w:val="00E76C0C"/>
    <w:rsid w:val="00E77308"/>
    <w:rsid w:val="00E77AF4"/>
    <w:rsid w:val="00E77D2D"/>
    <w:rsid w:val="00E80F0B"/>
    <w:rsid w:val="00E80F8D"/>
    <w:rsid w:val="00E81217"/>
    <w:rsid w:val="00E812D7"/>
    <w:rsid w:val="00E81570"/>
    <w:rsid w:val="00E817EF"/>
    <w:rsid w:val="00E81A70"/>
    <w:rsid w:val="00E82842"/>
    <w:rsid w:val="00E833A4"/>
    <w:rsid w:val="00E84261"/>
    <w:rsid w:val="00E847D6"/>
    <w:rsid w:val="00E855ED"/>
    <w:rsid w:val="00E862BC"/>
    <w:rsid w:val="00E86B9D"/>
    <w:rsid w:val="00E87791"/>
    <w:rsid w:val="00E877C2"/>
    <w:rsid w:val="00E91509"/>
    <w:rsid w:val="00E9243A"/>
    <w:rsid w:val="00E92B1D"/>
    <w:rsid w:val="00E9474C"/>
    <w:rsid w:val="00E9480A"/>
    <w:rsid w:val="00E94A3F"/>
    <w:rsid w:val="00E94FC1"/>
    <w:rsid w:val="00E95132"/>
    <w:rsid w:val="00E952CB"/>
    <w:rsid w:val="00E953BD"/>
    <w:rsid w:val="00E96F00"/>
    <w:rsid w:val="00E972C4"/>
    <w:rsid w:val="00E97302"/>
    <w:rsid w:val="00E9760E"/>
    <w:rsid w:val="00E97D4A"/>
    <w:rsid w:val="00EA0146"/>
    <w:rsid w:val="00EA0A30"/>
    <w:rsid w:val="00EA1CE8"/>
    <w:rsid w:val="00EA229A"/>
    <w:rsid w:val="00EA22DD"/>
    <w:rsid w:val="00EA2DB0"/>
    <w:rsid w:val="00EA4C5E"/>
    <w:rsid w:val="00EA5B0B"/>
    <w:rsid w:val="00EA5D62"/>
    <w:rsid w:val="00EA5F56"/>
    <w:rsid w:val="00EA63D2"/>
    <w:rsid w:val="00EA64C7"/>
    <w:rsid w:val="00EA6883"/>
    <w:rsid w:val="00EA697C"/>
    <w:rsid w:val="00EA72E1"/>
    <w:rsid w:val="00EA7DEA"/>
    <w:rsid w:val="00EA7EFB"/>
    <w:rsid w:val="00EB068D"/>
    <w:rsid w:val="00EB1285"/>
    <w:rsid w:val="00EB14B5"/>
    <w:rsid w:val="00EB1768"/>
    <w:rsid w:val="00EB2151"/>
    <w:rsid w:val="00EB269A"/>
    <w:rsid w:val="00EB2884"/>
    <w:rsid w:val="00EB3F0C"/>
    <w:rsid w:val="00EB4B11"/>
    <w:rsid w:val="00EB5F75"/>
    <w:rsid w:val="00EB7C88"/>
    <w:rsid w:val="00EC0440"/>
    <w:rsid w:val="00EC09CB"/>
    <w:rsid w:val="00EC18C9"/>
    <w:rsid w:val="00EC1909"/>
    <w:rsid w:val="00EC1CF6"/>
    <w:rsid w:val="00EC34A6"/>
    <w:rsid w:val="00EC3F5D"/>
    <w:rsid w:val="00EC6981"/>
    <w:rsid w:val="00EC69FA"/>
    <w:rsid w:val="00EC6B6A"/>
    <w:rsid w:val="00EC6C85"/>
    <w:rsid w:val="00EC6C9A"/>
    <w:rsid w:val="00ED0292"/>
    <w:rsid w:val="00ED0667"/>
    <w:rsid w:val="00ED103A"/>
    <w:rsid w:val="00ED179F"/>
    <w:rsid w:val="00ED274C"/>
    <w:rsid w:val="00ED626C"/>
    <w:rsid w:val="00ED64A2"/>
    <w:rsid w:val="00ED6635"/>
    <w:rsid w:val="00ED689F"/>
    <w:rsid w:val="00ED6DEF"/>
    <w:rsid w:val="00ED6EB2"/>
    <w:rsid w:val="00ED7450"/>
    <w:rsid w:val="00EE1A84"/>
    <w:rsid w:val="00EE4FE7"/>
    <w:rsid w:val="00EE5310"/>
    <w:rsid w:val="00EE5D03"/>
    <w:rsid w:val="00EE5F6F"/>
    <w:rsid w:val="00EE79A8"/>
    <w:rsid w:val="00EF0DA8"/>
    <w:rsid w:val="00EF161D"/>
    <w:rsid w:val="00EF23C7"/>
    <w:rsid w:val="00EF431E"/>
    <w:rsid w:val="00EF54AB"/>
    <w:rsid w:val="00EF553F"/>
    <w:rsid w:val="00EF5F22"/>
    <w:rsid w:val="00EF678A"/>
    <w:rsid w:val="00EF67A4"/>
    <w:rsid w:val="00EF77BC"/>
    <w:rsid w:val="00F00A2B"/>
    <w:rsid w:val="00F00DF2"/>
    <w:rsid w:val="00F0101B"/>
    <w:rsid w:val="00F0291B"/>
    <w:rsid w:val="00F02B5D"/>
    <w:rsid w:val="00F039AE"/>
    <w:rsid w:val="00F04995"/>
    <w:rsid w:val="00F049B3"/>
    <w:rsid w:val="00F04BF6"/>
    <w:rsid w:val="00F050CE"/>
    <w:rsid w:val="00F06594"/>
    <w:rsid w:val="00F06E1A"/>
    <w:rsid w:val="00F07365"/>
    <w:rsid w:val="00F10314"/>
    <w:rsid w:val="00F103CB"/>
    <w:rsid w:val="00F10C3B"/>
    <w:rsid w:val="00F11604"/>
    <w:rsid w:val="00F11A41"/>
    <w:rsid w:val="00F11BA4"/>
    <w:rsid w:val="00F124CA"/>
    <w:rsid w:val="00F130C7"/>
    <w:rsid w:val="00F15857"/>
    <w:rsid w:val="00F161E8"/>
    <w:rsid w:val="00F16631"/>
    <w:rsid w:val="00F16D93"/>
    <w:rsid w:val="00F17A83"/>
    <w:rsid w:val="00F20997"/>
    <w:rsid w:val="00F21210"/>
    <w:rsid w:val="00F2183F"/>
    <w:rsid w:val="00F21944"/>
    <w:rsid w:val="00F22838"/>
    <w:rsid w:val="00F23E0A"/>
    <w:rsid w:val="00F24755"/>
    <w:rsid w:val="00F24D15"/>
    <w:rsid w:val="00F26099"/>
    <w:rsid w:val="00F26752"/>
    <w:rsid w:val="00F268A2"/>
    <w:rsid w:val="00F26DBF"/>
    <w:rsid w:val="00F27156"/>
    <w:rsid w:val="00F27494"/>
    <w:rsid w:val="00F27B29"/>
    <w:rsid w:val="00F30B9C"/>
    <w:rsid w:val="00F30F3C"/>
    <w:rsid w:val="00F31C83"/>
    <w:rsid w:val="00F33992"/>
    <w:rsid w:val="00F33C46"/>
    <w:rsid w:val="00F34365"/>
    <w:rsid w:val="00F344E3"/>
    <w:rsid w:val="00F35121"/>
    <w:rsid w:val="00F35B9D"/>
    <w:rsid w:val="00F362DA"/>
    <w:rsid w:val="00F36FF7"/>
    <w:rsid w:val="00F373BB"/>
    <w:rsid w:val="00F37ADC"/>
    <w:rsid w:val="00F40A5D"/>
    <w:rsid w:val="00F40E4A"/>
    <w:rsid w:val="00F4144C"/>
    <w:rsid w:val="00F415EF"/>
    <w:rsid w:val="00F41704"/>
    <w:rsid w:val="00F4211A"/>
    <w:rsid w:val="00F42189"/>
    <w:rsid w:val="00F43091"/>
    <w:rsid w:val="00F43114"/>
    <w:rsid w:val="00F44038"/>
    <w:rsid w:val="00F446AD"/>
    <w:rsid w:val="00F462C6"/>
    <w:rsid w:val="00F46B18"/>
    <w:rsid w:val="00F46F18"/>
    <w:rsid w:val="00F50C17"/>
    <w:rsid w:val="00F53FB8"/>
    <w:rsid w:val="00F53FC1"/>
    <w:rsid w:val="00F5406D"/>
    <w:rsid w:val="00F54CB6"/>
    <w:rsid w:val="00F556CE"/>
    <w:rsid w:val="00F55B1C"/>
    <w:rsid w:val="00F56BCF"/>
    <w:rsid w:val="00F6083A"/>
    <w:rsid w:val="00F60BF0"/>
    <w:rsid w:val="00F6143F"/>
    <w:rsid w:val="00F637FD"/>
    <w:rsid w:val="00F647A0"/>
    <w:rsid w:val="00F64938"/>
    <w:rsid w:val="00F653C0"/>
    <w:rsid w:val="00F65490"/>
    <w:rsid w:val="00F65860"/>
    <w:rsid w:val="00F65E59"/>
    <w:rsid w:val="00F66B48"/>
    <w:rsid w:val="00F66DD6"/>
    <w:rsid w:val="00F675D6"/>
    <w:rsid w:val="00F67E74"/>
    <w:rsid w:val="00F704D3"/>
    <w:rsid w:val="00F70916"/>
    <w:rsid w:val="00F711A4"/>
    <w:rsid w:val="00F71209"/>
    <w:rsid w:val="00F71438"/>
    <w:rsid w:val="00F71B4F"/>
    <w:rsid w:val="00F72274"/>
    <w:rsid w:val="00F73165"/>
    <w:rsid w:val="00F73A58"/>
    <w:rsid w:val="00F748AA"/>
    <w:rsid w:val="00F77188"/>
    <w:rsid w:val="00F77A8D"/>
    <w:rsid w:val="00F80346"/>
    <w:rsid w:val="00F80495"/>
    <w:rsid w:val="00F805AB"/>
    <w:rsid w:val="00F80659"/>
    <w:rsid w:val="00F807EF"/>
    <w:rsid w:val="00F80CDE"/>
    <w:rsid w:val="00F82377"/>
    <w:rsid w:val="00F83743"/>
    <w:rsid w:val="00F8405D"/>
    <w:rsid w:val="00F841BF"/>
    <w:rsid w:val="00F84379"/>
    <w:rsid w:val="00F84C72"/>
    <w:rsid w:val="00F852CC"/>
    <w:rsid w:val="00F8557C"/>
    <w:rsid w:val="00F86034"/>
    <w:rsid w:val="00F869C9"/>
    <w:rsid w:val="00F86A85"/>
    <w:rsid w:val="00F876E0"/>
    <w:rsid w:val="00F87CEC"/>
    <w:rsid w:val="00F90F69"/>
    <w:rsid w:val="00F91063"/>
    <w:rsid w:val="00F91549"/>
    <w:rsid w:val="00F9217C"/>
    <w:rsid w:val="00F92708"/>
    <w:rsid w:val="00F932F1"/>
    <w:rsid w:val="00F93427"/>
    <w:rsid w:val="00F934EC"/>
    <w:rsid w:val="00F93D71"/>
    <w:rsid w:val="00F94584"/>
    <w:rsid w:val="00F95A38"/>
    <w:rsid w:val="00F95F2F"/>
    <w:rsid w:val="00F96075"/>
    <w:rsid w:val="00F96266"/>
    <w:rsid w:val="00F971CD"/>
    <w:rsid w:val="00F97764"/>
    <w:rsid w:val="00FA0DA1"/>
    <w:rsid w:val="00FA0DAD"/>
    <w:rsid w:val="00FA1614"/>
    <w:rsid w:val="00FA16B4"/>
    <w:rsid w:val="00FA19F1"/>
    <w:rsid w:val="00FA1B32"/>
    <w:rsid w:val="00FA3116"/>
    <w:rsid w:val="00FA3801"/>
    <w:rsid w:val="00FA3B94"/>
    <w:rsid w:val="00FA4B82"/>
    <w:rsid w:val="00FA4FC5"/>
    <w:rsid w:val="00FA5585"/>
    <w:rsid w:val="00FA56FF"/>
    <w:rsid w:val="00FA5D3C"/>
    <w:rsid w:val="00FA7859"/>
    <w:rsid w:val="00FA7918"/>
    <w:rsid w:val="00FA7EFD"/>
    <w:rsid w:val="00FB20B9"/>
    <w:rsid w:val="00FB223E"/>
    <w:rsid w:val="00FB2F6E"/>
    <w:rsid w:val="00FB3B70"/>
    <w:rsid w:val="00FB644B"/>
    <w:rsid w:val="00FB69AA"/>
    <w:rsid w:val="00FB6BB5"/>
    <w:rsid w:val="00FB744F"/>
    <w:rsid w:val="00FB76C8"/>
    <w:rsid w:val="00FC1393"/>
    <w:rsid w:val="00FC1B13"/>
    <w:rsid w:val="00FC2DF7"/>
    <w:rsid w:val="00FC2F8B"/>
    <w:rsid w:val="00FC3284"/>
    <w:rsid w:val="00FC3822"/>
    <w:rsid w:val="00FC652D"/>
    <w:rsid w:val="00FC7BFD"/>
    <w:rsid w:val="00FD0F0C"/>
    <w:rsid w:val="00FD1591"/>
    <w:rsid w:val="00FD2012"/>
    <w:rsid w:val="00FD2295"/>
    <w:rsid w:val="00FD2772"/>
    <w:rsid w:val="00FD2AD7"/>
    <w:rsid w:val="00FD36C0"/>
    <w:rsid w:val="00FD3EA2"/>
    <w:rsid w:val="00FD4945"/>
    <w:rsid w:val="00FD6EE6"/>
    <w:rsid w:val="00FD7DD7"/>
    <w:rsid w:val="00FE16BA"/>
    <w:rsid w:val="00FE298C"/>
    <w:rsid w:val="00FE2BCD"/>
    <w:rsid w:val="00FE2C34"/>
    <w:rsid w:val="00FE359C"/>
    <w:rsid w:val="00FE3CE8"/>
    <w:rsid w:val="00FE45ED"/>
    <w:rsid w:val="00FE54AD"/>
    <w:rsid w:val="00FE5C11"/>
    <w:rsid w:val="00FE5EBD"/>
    <w:rsid w:val="00FF2503"/>
    <w:rsid w:val="00FF3C32"/>
    <w:rsid w:val="00FF489E"/>
    <w:rsid w:val="00FF51A4"/>
    <w:rsid w:val="00FF5965"/>
    <w:rsid w:val="00FF6974"/>
    <w:rsid w:val="00FF6CE7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  <w:rPr>
      <w:rFonts w:ascii="Arial" w:hAnsi="Arial" w:cs="Arial"/>
      <w:color w:val="auto"/>
      <w:sz w:val="22"/>
      <w:szCs w:val="22"/>
      <w:u w:val="single"/>
      <w:lang w:val="el-GR"/>
    </w:rPr>
  </w:style>
  <w:style w:type="character" w:customStyle="1" w:styleId="BodyTextChar">
    <w:name w:val="Body Text Char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1F2F1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1F2F12"/>
    <w:rPr>
      <w:b/>
      <w:bCs/>
      <w:color w:val="000000"/>
    </w:rPr>
  </w:style>
  <w:style w:type="character" w:styleId="EndnoteReference">
    <w:name w:val="endnote reference"/>
    <w:uiPriority w:val="99"/>
    <w:semiHidden/>
    <w:rsid w:val="001F2F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MOF\My%20Documents\M%20Rigou\&#913;&#957;&#949;&#961;&#947;&#943;&#945;%20-%20&#924;&#951;&#957;&#953;&#945;&#943;&#949;&#962;%20&#917;&#954;&#952;&#941;&#963;&#949;&#953;&#962;\2014%20registered%20unemployed-monthly%20reports\October%202014\Reports\Graphs%20October%202014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wnloads\Graphs%20October%202014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wnloads\Graphs%20October%202014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/>
              <a:t>Διακύμανση του αριθμού των ανέργων </a:t>
            </a:r>
          </a:p>
          <a:p>
            <a:pPr>
              <a:defRPr lang="el-GR"/>
            </a:pPr>
            <a:r>
              <a:rPr lang="el-GR"/>
              <a:t>κατά ηλικία τους τελευταίους 12 μήνες </a:t>
            </a:r>
          </a:p>
        </c:rich>
      </c:tx>
      <c:layout>
        <c:manualLayout>
          <c:xMode val="edge"/>
          <c:yMode val="edge"/>
          <c:x val="0.24324324324324517"/>
          <c:y val="3.691275167785235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331658126933721"/>
          <c:y val="0.20916028113935586"/>
          <c:w val="0.65817621421175565"/>
          <c:h val="0.34908411858353777"/>
        </c:manualLayout>
      </c:layout>
      <c:lineChart>
        <c:grouping val="standard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marker>
            <c:symbol val="none"/>
          </c:marker>
          <c:cat>
            <c:multiLvlStrRef>
              <c:f>'ηλικία '!$W$1:$AI$2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'ηλικία '!$W$3:$AI$3</c:f>
              <c:numCache>
                <c:formatCode>#,##0</c:formatCode>
                <c:ptCount val="13"/>
                <c:pt idx="0">
                  <c:v>5102</c:v>
                </c:pt>
                <c:pt idx="1">
                  <c:v>5395</c:v>
                </c:pt>
                <c:pt idx="2">
                  <c:v>5147</c:v>
                </c:pt>
                <c:pt idx="3">
                  <c:v>5518</c:v>
                </c:pt>
                <c:pt idx="4">
                  <c:v>5796</c:v>
                </c:pt>
                <c:pt idx="5">
                  <c:v>6150</c:v>
                </c:pt>
                <c:pt idx="6">
                  <c:v>5058</c:v>
                </c:pt>
                <c:pt idx="7">
                  <c:v>4513</c:v>
                </c:pt>
                <c:pt idx="8">
                  <c:v>4481</c:v>
                </c:pt>
                <c:pt idx="9">
                  <c:v>4808</c:v>
                </c:pt>
                <c:pt idx="10">
                  <c:v>4521</c:v>
                </c:pt>
                <c:pt idx="11">
                  <c:v>4466</c:v>
                </c:pt>
                <c:pt idx="12">
                  <c:v>4230</c:v>
                </c:pt>
              </c:numCache>
            </c:numRef>
          </c:val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'!$W$1:$AI$2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'ηλικία '!$W$4:$AI$4</c:f>
              <c:numCache>
                <c:formatCode>General</c:formatCode>
                <c:ptCount val="13"/>
                <c:pt idx="0">
                  <c:v>7367</c:v>
                </c:pt>
                <c:pt idx="1">
                  <c:v>7823</c:v>
                </c:pt>
                <c:pt idx="2">
                  <c:v>7764</c:v>
                </c:pt>
                <c:pt idx="3">
                  <c:v>8204</c:v>
                </c:pt>
                <c:pt idx="4">
                  <c:v>8261</c:v>
                </c:pt>
                <c:pt idx="5">
                  <c:v>8355</c:v>
                </c:pt>
                <c:pt idx="6">
                  <c:v>7371</c:v>
                </c:pt>
                <c:pt idx="7">
                  <c:v>6717</c:v>
                </c:pt>
                <c:pt idx="8">
                  <c:v>7426</c:v>
                </c:pt>
                <c:pt idx="9">
                  <c:v>7861</c:v>
                </c:pt>
                <c:pt idx="10">
                  <c:v>7780</c:v>
                </c:pt>
                <c:pt idx="11">
                  <c:v>7107</c:v>
                </c:pt>
                <c:pt idx="12">
                  <c:v>6523</c:v>
                </c:pt>
              </c:numCache>
            </c:numRef>
          </c:val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'!$W$1:$AI$2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'ηλικία '!$W$5:$AI$5</c:f>
              <c:numCache>
                <c:formatCode>General</c:formatCode>
                <c:ptCount val="13"/>
                <c:pt idx="0">
                  <c:v>10121</c:v>
                </c:pt>
                <c:pt idx="1">
                  <c:v>11255</c:v>
                </c:pt>
                <c:pt idx="2">
                  <c:v>11638</c:v>
                </c:pt>
                <c:pt idx="3">
                  <c:v>12053</c:v>
                </c:pt>
                <c:pt idx="4">
                  <c:v>12086</c:v>
                </c:pt>
                <c:pt idx="5">
                  <c:v>11750</c:v>
                </c:pt>
                <c:pt idx="6">
                  <c:v>10269</c:v>
                </c:pt>
                <c:pt idx="7">
                  <c:v>9672</c:v>
                </c:pt>
                <c:pt idx="8">
                  <c:v>10304</c:v>
                </c:pt>
                <c:pt idx="9">
                  <c:v>10941</c:v>
                </c:pt>
                <c:pt idx="10">
                  <c:v>10700</c:v>
                </c:pt>
                <c:pt idx="11">
                  <c:v>9891</c:v>
                </c:pt>
                <c:pt idx="12">
                  <c:v>9372</c:v>
                </c:pt>
              </c:numCache>
            </c:numRef>
          </c:val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marker>
            <c:symbol val="none"/>
          </c:marker>
          <c:cat>
            <c:multiLvlStrRef>
              <c:f>'ηλικία '!$W$1:$AI$2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'ηλικία '!$W$6:$AI$6</c:f>
              <c:numCache>
                <c:formatCode>General</c:formatCode>
                <c:ptCount val="13"/>
                <c:pt idx="0">
                  <c:v>8493</c:v>
                </c:pt>
                <c:pt idx="1">
                  <c:v>9627</c:v>
                </c:pt>
                <c:pt idx="2">
                  <c:v>9959</c:v>
                </c:pt>
                <c:pt idx="3">
                  <c:v>10404</c:v>
                </c:pt>
                <c:pt idx="4">
                  <c:v>10425</c:v>
                </c:pt>
                <c:pt idx="5">
                  <c:v>10094</c:v>
                </c:pt>
                <c:pt idx="6">
                  <c:v>8829</c:v>
                </c:pt>
                <c:pt idx="7">
                  <c:v>8255</c:v>
                </c:pt>
                <c:pt idx="8">
                  <c:v>8257</c:v>
                </c:pt>
                <c:pt idx="9">
                  <c:v>8478</c:v>
                </c:pt>
                <c:pt idx="10">
                  <c:v>8258</c:v>
                </c:pt>
                <c:pt idx="11">
                  <c:v>7746</c:v>
                </c:pt>
                <c:pt idx="12">
                  <c:v>7642</c:v>
                </c:pt>
              </c:numCache>
            </c:numRef>
          </c:val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marker>
            <c:symbol val="none"/>
          </c:marker>
          <c:cat>
            <c:multiLvlStrRef>
              <c:f>'ηλικία '!$W$1:$AI$2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'ηλικία '!$W$7:$AI$7</c:f>
              <c:numCache>
                <c:formatCode>#,##0</c:formatCode>
                <c:ptCount val="13"/>
                <c:pt idx="0">
                  <c:v>10222</c:v>
                </c:pt>
                <c:pt idx="1">
                  <c:v>11257</c:v>
                </c:pt>
                <c:pt idx="2">
                  <c:v>11832</c:v>
                </c:pt>
                <c:pt idx="3">
                  <c:v>12282</c:v>
                </c:pt>
                <c:pt idx="4">
                  <c:v>12308</c:v>
                </c:pt>
                <c:pt idx="5">
                  <c:v>12111</c:v>
                </c:pt>
                <c:pt idx="6">
                  <c:v>11112</c:v>
                </c:pt>
                <c:pt idx="7">
                  <c:v>10578</c:v>
                </c:pt>
                <c:pt idx="8">
                  <c:v>10498</c:v>
                </c:pt>
                <c:pt idx="9">
                  <c:v>10657</c:v>
                </c:pt>
                <c:pt idx="10">
                  <c:v>10417</c:v>
                </c:pt>
                <c:pt idx="11">
                  <c:v>9955</c:v>
                </c:pt>
                <c:pt idx="12">
                  <c:v>9813</c:v>
                </c:pt>
              </c:numCache>
            </c:numRef>
          </c:val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marker>
            <c:symbol val="none"/>
          </c:marker>
          <c:cat>
            <c:multiLvlStrRef>
              <c:f>'ηλικία '!$W$1:$AI$2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'ηλικία '!$W$8:$AI$8</c:f>
              <c:numCache>
                <c:formatCode>General</c:formatCode>
                <c:ptCount val="13"/>
                <c:pt idx="0">
                  <c:v>3647</c:v>
                </c:pt>
                <c:pt idx="1">
                  <c:v>3835</c:v>
                </c:pt>
                <c:pt idx="2">
                  <c:v>3980</c:v>
                </c:pt>
                <c:pt idx="3">
                  <c:v>4183</c:v>
                </c:pt>
                <c:pt idx="4">
                  <c:v>4193</c:v>
                </c:pt>
                <c:pt idx="5">
                  <c:v>4156</c:v>
                </c:pt>
                <c:pt idx="6">
                  <c:v>3967</c:v>
                </c:pt>
                <c:pt idx="7">
                  <c:v>3886</c:v>
                </c:pt>
                <c:pt idx="8">
                  <c:v>3807</c:v>
                </c:pt>
                <c:pt idx="9">
                  <c:v>3833</c:v>
                </c:pt>
                <c:pt idx="10">
                  <c:v>3747</c:v>
                </c:pt>
                <c:pt idx="11">
                  <c:v>3698</c:v>
                </c:pt>
                <c:pt idx="12">
                  <c:v>3592</c:v>
                </c:pt>
              </c:numCache>
            </c:numRef>
          </c:val>
        </c:ser>
        <c:marker val="1"/>
        <c:axId val="62791040"/>
        <c:axId val="62825600"/>
      </c:lineChart>
      <c:catAx>
        <c:axId val="627910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62825600"/>
        <c:crosses val="autoZero"/>
        <c:auto val="1"/>
        <c:lblAlgn val="ctr"/>
        <c:lblOffset val="100"/>
      </c:catAx>
      <c:valAx>
        <c:axId val="62825600"/>
        <c:scaling>
          <c:orientation val="minMax"/>
          <c:min val="2000"/>
        </c:scaling>
        <c:axPos val="l"/>
        <c:majorGridlines/>
        <c:numFmt formatCode="#,##0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62791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33"/>
          <c:w val="0.1426893883586797"/>
          <c:h val="0.45953178671458011"/>
        </c:manualLayout>
      </c:layout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</a:p>
          <a:p>
            <a:pPr>
              <a:defRPr/>
            </a:pPr>
            <a:r>
              <a:rPr lang="el-GR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646"/>
          <c:y val="3.252584792478713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949185405878319"/>
          <c:y val="0.21607923110330837"/>
          <c:w val="0.59834598377905457"/>
          <c:h val="0.29523140542683929"/>
        </c:manualLayout>
      </c:layout>
      <c:lineChart>
        <c:grouping val="standard"/>
        <c:ser>
          <c:idx val="1"/>
          <c:order val="0"/>
          <c:tx>
            <c:strRef>
              <c:f>'[Graphs October 2014.xlsx]μόρφωση'!$A$8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'[Graphs October 2014.xlsx]μόρφωση'!$W$1:$AI$2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'[Graphs October 2014.xlsx]μόρφωση'!$W$8:$AI$8</c:f>
              <c:numCache>
                <c:formatCode>#,##0</c:formatCode>
                <c:ptCount val="13"/>
                <c:pt idx="0">
                  <c:v>22258</c:v>
                </c:pt>
                <c:pt idx="1">
                  <c:v>24884</c:v>
                </c:pt>
                <c:pt idx="2">
                  <c:v>25751</c:v>
                </c:pt>
                <c:pt idx="3">
                  <c:v>27003</c:v>
                </c:pt>
                <c:pt idx="4">
                  <c:v>27168</c:v>
                </c:pt>
                <c:pt idx="5">
                  <c:v>27014</c:v>
                </c:pt>
                <c:pt idx="6">
                  <c:v>23603</c:v>
                </c:pt>
                <c:pt idx="7">
                  <c:v>22046</c:v>
                </c:pt>
                <c:pt idx="8">
                  <c:v>21585</c:v>
                </c:pt>
                <c:pt idx="9">
                  <c:v>22108</c:v>
                </c:pt>
                <c:pt idx="10">
                  <c:v>21451</c:v>
                </c:pt>
                <c:pt idx="11">
                  <c:v>20545</c:v>
                </c:pt>
                <c:pt idx="12">
                  <c:v>20409</c:v>
                </c:pt>
              </c:numCache>
            </c:numRef>
          </c:val>
        </c:ser>
        <c:ser>
          <c:idx val="2"/>
          <c:order val="1"/>
          <c:tx>
            <c:strRef>
              <c:f>'[Graphs October 2014.xlsx]μόρφωση'!$A$9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'[Graphs October 2014.xlsx]μόρφωση'!$W$1:$AI$2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'[Graphs October 2014.xlsx]μόρφωση'!$W$9:$AI$9</c:f>
              <c:numCache>
                <c:formatCode>#,##0</c:formatCode>
                <c:ptCount val="13"/>
                <c:pt idx="0">
                  <c:v>13576</c:v>
                </c:pt>
                <c:pt idx="1">
                  <c:v>13450</c:v>
                </c:pt>
                <c:pt idx="2">
                  <c:v>13156</c:v>
                </c:pt>
                <c:pt idx="3">
                  <c:v>13638</c:v>
                </c:pt>
                <c:pt idx="4">
                  <c:v>13812</c:v>
                </c:pt>
                <c:pt idx="5">
                  <c:v>14079</c:v>
                </c:pt>
                <c:pt idx="6">
                  <c:v>13019</c:v>
                </c:pt>
                <c:pt idx="7">
                  <c:v>12467</c:v>
                </c:pt>
                <c:pt idx="8">
                  <c:v>14425</c:v>
                </c:pt>
                <c:pt idx="9">
                  <c:v>15692</c:v>
                </c:pt>
                <c:pt idx="10">
                  <c:v>15502</c:v>
                </c:pt>
                <c:pt idx="11">
                  <c:v>13885</c:v>
                </c:pt>
                <c:pt idx="12">
                  <c:v>12180</c:v>
                </c:pt>
              </c:numCache>
            </c:numRef>
          </c:val>
        </c:ser>
        <c:ser>
          <c:idx val="0"/>
          <c:order val="2"/>
          <c:tx>
            <c:strRef>
              <c:f>'[Graphs October 2014.xlsx]μόρφωση'!$A$5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'[Graphs October 2014.xlsx]μόρφωση'!$W$1:$AI$2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'[Graphs October 2014.xlsx]μόρφωση'!$W$5:$AI$5</c:f>
              <c:numCache>
                <c:formatCode>#,##0</c:formatCode>
                <c:ptCount val="13"/>
                <c:pt idx="0">
                  <c:v>9258</c:v>
                </c:pt>
                <c:pt idx="1">
                  <c:v>11000</c:v>
                </c:pt>
                <c:pt idx="2">
                  <c:v>11560</c:v>
                </c:pt>
                <c:pt idx="3">
                  <c:v>12142</c:v>
                </c:pt>
                <c:pt idx="4">
                  <c:v>12224</c:v>
                </c:pt>
                <c:pt idx="5">
                  <c:v>11679</c:v>
                </c:pt>
                <c:pt idx="6">
                  <c:v>10136</c:v>
                </c:pt>
                <c:pt idx="7">
                  <c:v>9255</c:v>
                </c:pt>
                <c:pt idx="8">
                  <c:v>8915</c:v>
                </c:pt>
                <c:pt idx="9">
                  <c:v>8927</c:v>
                </c:pt>
                <c:pt idx="10">
                  <c:v>8630</c:v>
                </c:pt>
                <c:pt idx="11">
                  <c:v>8587</c:v>
                </c:pt>
                <c:pt idx="12">
                  <c:v>8745</c:v>
                </c:pt>
              </c:numCache>
            </c:numRef>
          </c:val>
        </c:ser>
        <c:marker val="1"/>
        <c:axId val="65169664"/>
        <c:axId val="65220992"/>
      </c:lineChart>
      <c:catAx>
        <c:axId val="651696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65220992"/>
        <c:crosses val="autoZero"/>
        <c:auto val="1"/>
        <c:lblAlgn val="ctr"/>
        <c:lblOffset val="100"/>
      </c:catAx>
      <c:valAx>
        <c:axId val="6522099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65169664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4992836133143348"/>
          <c:y val="0.24965556779805248"/>
          <c:w val="0.24643224113512485"/>
          <c:h val="0.39561740028398396"/>
        </c:manualLayout>
      </c:layout>
    </c:legend>
    <c:plotVisOnly val="1"/>
    <c:dispBlanksAs val="gap"/>
  </c:chart>
  <c:txPr>
    <a:bodyPr/>
    <a:lstStyle/>
    <a:p>
      <a:pPr>
        <a:defRPr sz="900"/>
      </a:pPr>
      <a:endParaRPr lang="en-US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 ανέργων</a:t>
            </a:r>
            <a:r>
              <a:rPr lang="en-US"/>
              <a:t> </a:t>
            </a:r>
            <a:r>
              <a:rPr lang="el-GR"/>
              <a:t> κατά εθνότητα</a:t>
            </a:r>
            <a:r>
              <a:rPr lang="en-US"/>
              <a:t> </a:t>
            </a:r>
            <a:r>
              <a:rPr lang="el-GR"/>
              <a:t> </a:t>
            </a:r>
          </a:p>
          <a:p>
            <a:pPr>
              <a:defRPr/>
            </a:pPr>
            <a:r>
              <a:rPr lang="el-GR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4997"/>
          <c:y val="3.745332050752231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6150841969497941E-2"/>
          <c:y val="0.24094960040107594"/>
          <c:w val="0.58061855670103057"/>
          <c:h val="0.31710480010223813"/>
        </c:manualLayout>
      </c:layout>
      <c:lineChart>
        <c:grouping val="standard"/>
        <c:ser>
          <c:idx val="0"/>
          <c:order val="0"/>
          <c:tx>
            <c:strRef>
              <c:f>'[Graphs October 2014.xlsx]υπηκοότητα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'[Graphs October 2014.xlsx]υπηκοότητα '!$W$1:$AI$2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'[Graphs October 2014.xlsx]υπηκοότητα '!$W$4:$AI$4</c:f>
              <c:numCache>
                <c:formatCode>General</c:formatCode>
                <c:ptCount val="13"/>
                <c:pt idx="0">
                  <c:v>5509</c:v>
                </c:pt>
                <c:pt idx="1">
                  <c:v>7329</c:v>
                </c:pt>
                <c:pt idx="2">
                  <c:v>7443</c:v>
                </c:pt>
                <c:pt idx="3">
                  <c:v>7854</c:v>
                </c:pt>
                <c:pt idx="4">
                  <c:v>7856</c:v>
                </c:pt>
                <c:pt idx="5">
                  <c:v>7464</c:v>
                </c:pt>
                <c:pt idx="6">
                  <c:v>5849</c:v>
                </c:pt>
                <c:pt idx="7">
                  <c:v>4930</c:v>
                </c:pt>
                <c:pt idx="8">
                  <c:v>4655</c:v>
                </c:pt>
                <c:pt idx="9">
                  <c:v>4558</c:v>
                </c:pt>
                <c:pt idx="10">
                  <c:v>4288</c:v>
                </c:pt>
                <c:pt idx="11">
                  <c:v>4278</c:v>
                </c:pt>
                <c:pt idx="12">
                  <c:v>4458</c:v>
                </c:pt>
              </c:numCache>
            </c:numRef>
          </c:val>
        </c:ser>
        <c:ser>
          <c:idx val="1"/>
          <c:order val="1"/>
          <c:tx>
            <c:strRef>
              <c:f>'[Graphs October 2014.xlsx]υπηκοότητα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marker>
            <c:symbol val="none"/>
          </c:marker>
          <c:cat>
            <c:multiLvlStrRef>
              <c:f>'[Graphs October 2014.xlsx]υπηκοότητα '!$W$1:$AI$2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'[Graphs October 2014.xlsx]υπηκοότητα '!$W$5:$AI$5</c:f>
              <c:numCache>
                <c:formatCode>General</c:formatCode>
                <c:ptCount val="13"/>
                <c:pt idx="0">
                  <c:v>1535</c:v>
                </c:pt>
                <c:pt idx="1">
                  <c:v>1784</c:v>
                </c:pt>
                <c:pt idx="2">
                  <c:v>1843</c:v>
                </c:pt>
                <c:pt idx="3">
                  <c:v>1915</c:v>
                </c:pt>
                <c:pt idx="4">
                  <c:v>1930</c:v>
                </c:pt>
                <c:pt idx="5">
                  <c:v>1876</c:v>
                </c:pt>
                <c:pt idx="6">
                  <c:v>1666</c:v>
                </c:pt>
                <c:pt idx="7">
                  <c:v>1545</c:v>
                </c:pt>
                <c:pt idx="8">
                  <c:v>1473</c:v>
                </c:pt>
                <c:pt idx="9">
                  <c:v>1478</c:v>
                </c:pt>
                <c:pt idx="10">
                  <c:v>1468</c:v>
                </c:pt>
                <c:pt idx="11">
                  <c:v>1540</c:v>
                </c:pt>
                <c:pt idx="12">
                  <c:v>1564</c:v>
                </c:pt>
              </c:numCache>
            </c:numRef>
          </c:val>
        </c:ser>
        <c:ser>
          <c:idx val="2"/>
          <c:order val="2"/>
          <c:tx>
            <c:strRef>
              <c:f>'[Graphs October 2014.xlsx]υπηκοότητα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marker>
            <c:symbol val="none"/>
          </c:marker>
          <c:cat>
            <c:multiLvlStrRef>
              <c:f>'[Graphs October 2014.xlsx]υπηκοότητα '!$W$1:$AI$2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'[Graphs October 2014.xlsx]υπηκοότητα '!$W$8:$AI$8</c:f>
              <c:numCache>
                <c:formatCode>General</c:formatCode>
                <c:ptCount val="13"/>
                <c:pt idx="0">
                  <c:v>79</c:v>
                </c:pt>
                <c:pt idx="1">
                  <c:v>70</c:v>
                </c:pt>
                <c:pt idx="2">
                  <c:v>72</c:v>
                </c:pt>
                <c:pt idx="3">
                  <c:v>75</c:v>
                </c:pt>
                <c:pt idx="4">
                  <c:v>76</c:v>
                </c:pt>
                <c:pt idx="5">
                  <c:v>99</c:v>
                </c:pt>
                <c:pt idx="6">
                  <c:v>117</c:v>
                </c:pt>
                <c:pt idx="7">
                  <c:v>125</c:v>
                </c:pt>
                <c:pt idx="8">
                  <c:v>150</c:v>
                </c:pt>
                <c:pt idx="9">
                  <c:v>181</c:v>
                </c:pt>
                <c:pt idx="10">
                  <c:v>189</c:v>
                </c:pt>
                <c:pt idx="11">
                  <c:v>201</c:v>
                </c:pt>
                <c:pt idx="12">
                  <c:v>232</c:v>
                </c:pt>
              </c:numCache>
            </c:numRef>
          </c:val>
        </c:ser>
        <c:ser>
          <c:idx val="3"/>
          <c:order val="3"/>
          <c:tx>
            <c:strRef>
              <c:f>'[Graphs October 2014.xlsx]υπηκοότητα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marker>
            <c:symbol val="none"/>
          </c:marker>
          <c:cat>
            <c:multiLvlStrRef>
              <c:f>'[Graphs October 2014.xlsx]υπηκοότητα '!$W$1:$AI$2</c:f>
              <c:multiLvlStrCache>
                <c:ptCount val="13"/>
                <c:lvl>
                  <c:pt idx="0">
                    <c:v>Οκτώβριος</c:v>
                  </c:pt>
                  <c:pt idx="1">
                    <c:v>Νοέμβριος</c:v>
                  </c:pt>
                  <c:pt idx="2">
                    <c:v>Δεκέμβριος</c:v>
                  </c:pt>
                  <c:pt idx="3">
                    <c:v>Ιανουάριος</c:v>
                  </c:pt>
                  <c:pt idx="4">
                    <c:v>Φεβρουάριος</c:v>
                  </c:pt>
                  <c:pt idx="5">
                    <c:v>Μάρτιος</c:v>
                  </c:pt>
                  <c:pt idx="6">
                    <c:v>Απρίλιος</c:v>
                  </c:pt>
                  <c:pt idx="7">
                    <c:v>Μάιος</c:v>
                  </c:pt>
                  <c:pt idx="8">
                    <c:v>Ιούνιος</c:v>
                  </c:pt>
                  <c:pt idx="9">
                    <c:v>Ιούλιος</c:v>
                  </c:pt>
                  <c:pt idx="10">
                    <c:v>Αύγουστος</c:v>
                  </c:pt>
                  <c:pt idx="11">
                    <c:v>Σεπτέμβριος</c:v>
                  </c:pt>
                  <c:pt idx="12">
                    <c:v>Οκτώβριος</c:v>
                  </c:pt>
                </c:lvl>
                <c:lvl>
                  <c:pt idx="0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'[Graphs October 2014.xlsx]υπηκοότητα '!$W$3:$AI$3</c:f>
              <c:numCache>
                <c:formatCode>General</c:formatCode>
                <c:ptCount val="13"/>
                <c:pt idx="0">
                  <c:v>36020</c:v>
                </c:pt>
                <c:pt idx="1">
                  <c:v>38016</c:v>
                </c:pt>
                <c:pt idx="2">
                  <c:v>38982</c:v>
                </c:pt>
                <c:pt idx="3">
                  <c:v>40742</c:v>
                </c:pt>
                <c:pt idx="4">
                  <c:v>41118</c:v>
                </c:pt>
                <c:pt idx="5">
                  <c:v>41145</c:v>
                </c:pt>
                <c:pt idx="6">
                  <c:v>37166</c:v>
                </c:pt>
                <c:pt idx="7">
                  <c:v>35312</c:v>
                </c:pt>
                <c:pt idx="8">
                  <c:v>36860</c:v>
                </c:pt>
                <c:pt idx="9">
                  <c:v>38701</c:v>
                </c:pt>
                <c:pt idx="10">
                  <c:v>37867</c:v>
                </c:pt>
                <c:pt idx="11">
                  <c:v>35254</c:v>
                </c:pt>
                <c:pt idx="12">
                  <c:v>33336</c:v>
                </c:pt>
              </c:numCache>
            </c:numRef>
          </c:val>
        </c:ser>
        <c:marker val="1"/>
        <c:axId val="69166208"/>
        <c:axId val="69168128"/>
      </c:lineChart>
      <c:catAx>
        <c:axId val="691662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69168128"/>
        <c:crosses val="autoZero"/>
        <c:auto val="1"/>
        <c:lblAlgn val="ctr"/>
        <c:lblOffset val="100"/>
      </c:catAx>
      <c:valAx>
        <c:axId val="691681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6916620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39480381973"/>
          <c:y val="0.23595591919738884"/>
          <c:w val="0.27419781603474608"/>
          <c:h val="0.55862642169728782"/>
        </c:manualLayout>
      </c:layout>
    </c:legend>
    <c:plotVisOnly val="1"/>
    <c:dispBlanksAs val="gap"/>
  </c:chart>
  <c:txPr>
    <a:bodyPr/>
    <a:lstStyle/>
    <a:p>
      <a:pPr>
        <a:defRPr sz="900"/>
      </a:pPr>
      <a:endParaRPr lang="en-US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subject/>
  <dc:creator>Yolanda</dc:creator>
  <cp:keywords/>
  <cp:lastModifiedBy> </cp:lastModifiedBy>
  <cp:revision>9</cp:revision>
  <cp:lastPrinted>2014-11-06T08:09:00Z</cp:lastPrinted>
  <dcterms:created xsi:type="dcterms:W3CDTF">2014-11-06T08:55:00Z</dcterms:created>
  <dcterms:modified xsi:type="dcterms:W3CDTF">2014-11-06T09:03:00Z</dcterms:modified>
</cp:coreProperties>
</file>